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E53A2" w14:textId="77777777" w:rsidR="00DE6C6A" w:rsidRPr="00284AA8" w:rsidRDefault="00DE6C6A" w:rsidP="00DE6C6A">
      <w:pPr>
        <w:pStyle w:val="1"/>
        <w:spacing w:before="0"/>
        <w:rPr>
          <w:rFonts w:ascii="Times New Roman" w:hAnsi="Times New Roman" w:cs="Times New Roman"/>
          <w:color w:val="auto"/>
        </w:rPr>
      </w:pPr>
      <w:r w:rsidRPr="00F10503">
        <w:rPr>
          <w:rFonts w:ascii="Times New Roman" w:hAnsi="Times New Roman" w:cs="Times New Roman"/>
          <w:color w:val="auto"/>
        </w:rPr>
        <w:t xml:space="preserve">Условия предоставления </w:t>
      </w:r>
      <w:r>
        <w:rPr>
          <w:rFonts w:ascii="Times New Roman" w:hAnsi="Times New Roman" w:cs="Times New Roman"/>
          <w:color w:val="auto"/>
        </w:rPr>
        <w:t>микрозайма</w:t>
      </w:r>
      <w:r w:rsidRPr="00F10503">
        <w:rPr>
          <w:rFonts w:ascii="Times New Roman" w:hAnsi="Times New Roman" w:cs="Times New Roman"/>
          <w:color w:val="auto"/>
        </w:rPr>
        <w:t xml:space="preserve"> </w:t>
      </w:r>
      <w:r w:rsidRPr="00284AA8">
        <w:rPr>
          <w:rFonts w:ascii="Times New Roman" w:hAnsi="Times New Roman" w:cs="Times New Roman"/>
          <w:color w:val="auto"/>
        </w:rPr>
        <w:t>«</w:t>
      </w:r>
      <w:r>
        <w:rPr>
          <w:rFonts w:ascii="Times New Roman" w:hAnsi="Times New Roman" w:cs="Times New Roman"/>
          <w:color w:val="auto"/>
        </w:rPr>
        <w:t>ЭКСТРЕННЫЙ</w:t>
      </w:r>
      <w:r w:rsidRPr="00284AA8">
        <w:rPr>
          <w:rFonts w:ascii="Times New Roman" w:hAnsi="Times New Roman" w:cs="Times New Roman"/>
          <w:color w:val="auto"/>
        </w:rPr>
        <w:t>»</w:t>
      </w:r>
    </w:p>
    <w:p w14:paraId="5EDB56AD" w14:textId="77777777" w:rsidR="00DE6C6A" w:rsidRPr="00F10503" w:rsidRDefault="00DE6C6A" w:rsidP="00DE6C6A">
      <w:pPr>
        <w:pStyle w:val="a6"/>
        <w:tabs>
          <w:tab w:val="left" w:pos="567"/>
        </w:tabs>
        <w:spacing w:after="0" w:line="240" w:lineRule="auto"/>
        <w:ind w:left="0"/>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7"/>
        <w:gridCol w:w="6804"/>
      </w:tblGrid>
      <w:tr w:rsidR="00DE6C6A" w:rsidRPr="00F10503" w14:paraId="5F7A4F00" w14:textId="77777777" w:rsidTr="00E85E89">
        <w:tc>
          <w:tcPr>
            <w:tcW w:w="568" w:type="dxa"/>
            <w:vAlign w:val="center"/>
          </w:tcPr>
          <w:p w14:paraId="1F99091C" w14:textId="77777777" w:rsidR="00DE6C6A" w:rsidRPr="00F10503" w:rsidRDefault="00DE6C6A" w:rsidP="00E85E89">
            <w:pPr>
              <w:pStyle w:val="4"/>
              <w:spacing w:before="0"/>
              <w:contextualSpacing/>
              <w:jc w:val="center"/>
              <w:rPr>
                <w:rFonts w:ascii="Times New Roman" w:hAnsi="Times New Roman" w:cs="Times New Roman"/>
                <w:i w:val="0"/>
                <w:color w:val="auto"/>
                <w:sz w:val="22"/>
                <w:szCs w:val="22"/>
              </w:rPr>
            </w:pPr>
            <w:r w:rsidRPr="00F10503">
              <w:rPr>
                <w:rFonts w:ascii="Times New Roman" w:hAnsi="Times New Roman" w:cs="Times New Roman"/>
                <w:i w:val="0"/>
                <w:color w:val="auto"/>
                <w:sz w:val="22"/>
                <w:szCs w:val="22"/>
              </w:rPr>
              <w:t>№</w:t>
            </w:r>
          </w:p>
        </w:tc>
        <w:tc>
          <w:tcPr>
            <w:tcW w:w="2267" w:type="dxa"/>
            <w:vAlign w:val="center"/>
          </w:tcPr>
          <w:p w14:paraId="4CFF3DFB" w14:textId="77777777" w:rsidR="00DE6C6A" w:rsidRPr="00F10503" w:rsidRDefault="00DE6C6A" w:rsidP="00E85E89">
            <w:pPr>
              <w:pStyle w:val="4"/>
              <w:spacing w:before="0"/>
              <w:contextualSpacing/>
              <w:jc w:val="center"/>
              <w:rPr>
                <w:rFonts w:ascii="Times New Roman" w:hAnsi="Times New Roman" w:cs="Times New Roman"/>
                <w:i w:val="0"/>
                <w:color w:val="auto"/>
                <w:sz w:val="22"/>
                <w:szCs w:val="22"/>
              </w:rPr>
            </w:pPr>
            <w:r w:rsidRPr="00F10503">
              <w:rPr>
                <w:rFonts w:ascii="Times New Roman" w:hAnsi="Times New Roman" w:cs="Times New Roman"/>
                <w:i w:val="0"/>
                <w:color w:val="auto"/>
                <w:sz w:val="22"/>
                <w:szCs w:val="22"/>
              </w:rPr>
              <w:t xml:space="preserve">Параметр </w:t>
            </w:r>
            <w:r>
              <w:rPr>
                <w:rFonts w:ascii="Times New Roman" w:hAnsi="Times New Roman" w:cs="Times New Roman"/>
                <w:i w:val="0"/>
                <w:color w:val="auto"/>
                <w:sz w:val="22"/>
                <w:szCs w:val="22"/>
              </w:rPr>
              <w:t>микрозайма</w:t>
            </w:r>
          </w:p>
        </w:tc>
        <w:tc>
          <w:tcPr>
            <w:tcW w:w="6804" w:type="dxa"/>
            <w:vAlign w:val="center"/>
          </w:tcPr>
          <w:p w14:paraId="76F9929C" w14:textId="77777777" w:rsidR="00DE6C6A" w:rsidRPr="00F10503" w:rsidRDefault="00DE6C6A" w:rsidP="00E85E89">
            <w:pPr>
              <w:pStyle w:val="4"/>
              <w:spacing w:before="0"/>
              <w:contextualSpacing/>
              <w:jc w:val="center"/>
              <w:rPr>
                <w:rFonts w:ascii="Times New Roman" w:hAnsi="Times New Roman" w:cs="Times New Roman"/>
                <w:i w:val="0"/>
                <w:color w:val="auto"/>
                <w:sz w:val="22"/>
                <w:szCs w:val="22"/>
              </w:rPr>
            </w:pPr>
            <w:r w:rsidRPr="00F10503">
              <w:rPr>
                <w:rFonts w:ascii="Times New Roman" w:hAnsi="Times New Roman" w:cs="Times New Roman"/>
                <w:i w:val="0"/>
                <w:color w:val="auto"/>
                <w:sz w:val="22"/>
                <w:szCs w:val="22"/>
              </w:rPr>
              <w:t xml:space="preserve">Описание параметров </w:t>
            </w:r>
            <w:r>
              <w:rPr>
                <w:rFonts w:ascii="Times New Roman" w:hAnsi="Times New Roman" w:cs="Times New Roman"/>
                <w:i w:val="0"/>
                <w:color w:val="auto"/>
                <w:sz w:val="22"/>
                <w:szCs w:val="22"/>
              </w:rPr>
              <w:t>микрозаймов</w:t>
            </w:r>
          </w:p>
        </w:tc>
      </w:tr>
      <w:tr w:rsidR="00DE6C6A" w:rsidRPr="00290877" w14:paraId="70D521F9" w14:textId="77777777" w:rsidTr="00285FBE">
        <w:trPr>
          <w:trHeight w:val="755"/>
        </w:trPr>
        <w:tc>
          <w:tcPr>
            <w:tcW w:w="568" w:type="dxa"/>
            <w:vAlign w:val="center"/>
          </w:tcPr>
          <w:p w14:paraId="7235953A" w14:textId="77777777" w:rsidR="00DE6C6A" w:rsidRPr="00290877" w:rsidRDefault="00DE6C6A" w:rsidP="00290877">
            <w:r w:rsidRPr="00290877">
              <w:t>1</w:t>
            </w:r>
          </w:p>
        </w:tc>
        <w:tc>
          <w:tcPr>
            <w:tcW w:w="2267" w:type="dxa"/>
            <w:vAlign w:val="center"/>
          </w:tcPr>
          <w:p w14:paraId="0CAAD74C" w14:textId="07401163" w:rsidR="00DE6C6A" w:rsidRPr="00290877" w:rsidRDefault="00DE6C6A" w:rsidP="00290877">
            <w:r w:rsidRPr="00290877">
              <w:t>Заемщик</w:t>
            </w:r>
          </w:p>
        </w:tc>
        <w:tc>
          <w:tcPr>
            <w:tcW w:w="6804" w:type="dxa"/>
          </w:tcPr>
          <w:p w14:paraId="11123097" w14:textId="77777777" w:rsidR="00DE6C6A" w:rsidRPr="00290877" w:rsidRDefault="00DE6C6A" w:rsidP="00290877">
            <w:r w:rsidRPr="00290877">
              <w:t>Индивидуальный предприниматель;</w:t>
            </w:r>
          </w:p>
          <w:p w14:paraId="01DECA41" w14:textId="77777777" w:rsidR="00DE6C6A" w:rsidRPr="00290877" w:rsidRDefault="00DE6C6A" w:rsidP="00290877">
            <w:r w:rsidRPr="00290877">
              <w:t>Общество с ограниченной ответственностью (ООО);</w:t>
            </w:r>
          </w:p>
          <w:p w14:paraId="5B01D855" w14:textId="77777777" w:rsidR="00DE6C6A" w:rsidRPr="00290877" w:rsidRDefault="00DE6C6A" w:rsidP="00290877">
            <w:r w:rsidRPr="00290877">
              <w:t>Акционерное общество (АО)</w:t>
            </w:r>
          </w:p>
        </w:tc>
      </w:tr>
      <w:tr w:rsidR="00DE6C6A" w:rsidRPr="00290877" w14:paraId="62BA92C7" w14:textId="77777777" w:rsidTr="00285FBE">
        <w:trPr>
          <w:trHeight w:val="391"/>
        </w:trPr>
        <w:tc>
          <w:tcPr>
            <w:tcW w:w="568" w:type="dxa"/>
            <w:vAlign w:val="center"/>
          </w:tcPr>
          <w:p w14:paraId="3B855048" w14:textId="77777777" w:rsidR="00DE6C6A" w:rsidRPr="00290877" w:rsidRDefault="00DE6C6A" w:rsidP="00290877">
            <w:r w:rsidRPr="00290877">
              <w:t>2</w:t>
            </w:r>
          </w:p>
        </w:tc>
        <w:tc>
          <w:tcPr>
            <w:tcW w:w="2267" w:type="dxa"/>
            <w:vAlign w:val="center"/>
          </w:tcPr>
          <w:p w14:paraId="0465B9B2" w14:textId="77777777" w:rsidR="00DE6C6A" w:rsidRPr="00290877" w:rsidRDefault="00DE6C6A" w:rsidP="00290877">
            <w:r w:rsidRPr="00290877">
              <w:t>Размер займа</w:t>
            </w:r>
          </w:p>
        </w:tc>
        <w:tc>
          <w:tcPr>
            <w:tcW w:w="6804" w:type="dxa"/>
          </w:tcPr>
          <w:p w14:paraId="04E6043D" w14:textId="77777777" w:rsidR="00DE6C6A" w:rsidRDefault="00DE6C6A" w:rsidP="00290877">
            <w:proofErr w:type="gramStart"/>
            <w:r w:rsidRPr="00290877">
              <w:t>от  200</w:t>
            </w:r>
            <w:proofErr w:type="gramEnd"/>
            <w:r w:rsidRPr="00290877">
              <w:t xml:space="preserve"> 000 рублей  до 5 000 000 рублей включительно </w:t>
            </w:r>
          </w:p>
          <w:p w14:paraId="4D91857B" w14:textId="41B25CD6" w:rsidR="00D30C6C" w:rsidRPr="00290877" w:rsidRDefault="00D30C6C" w:rsidP="00290877">
            <w:r>
              <w:t>от 200 000 рублей до 2 000 000 рублей включительно (при отсутствии собственного залога)</w:t>
            </w:r>
          </w:p>
        </w:tc>
      </w:tr>
      <w:tr w:rsidR="00DE6C6A" w:rsidRPr="00290877" w14:paraId="62A63008" w14:textId="77777777" w:rsidTr="00285FBE">
        <w:trPr>
          <w:trHeight w:val="456"/>
        </w:trPr>
        <w:tc>
          <w:tcPr>
            <w:tcW w:w="568" w:type="dxa"/>
            <w:vAlign w:val="center"/>
          </w:tcPr>
          <w:p w14:paraId="37FB0F7C" w14:textId="77777777" w:rsidR="00DE6C6A" w:rsidRPr="00290877" w:rsidRDefault="00DE6C6A" w:rsidP="00290877">
            <w:r w:rsidRPr="00290877">
              <w:t>3</w:t>
            </w:r>
          </w:p>
        </w:tc>
        <w:tc>
          <w:tcPr>
            <w:tcW w:w="2267" w:type="dxa"/>
            <w:vAlign w:val="center"/>
          </w:tcPr>
          <w:p w14:paraId="358DD0CE" w14:textId="77777777" w:rsidR="00DE6C6A" w:rsidRPr="00290877" w:rsidRDefault="00DE6C6A" w:rsidP="00290877">
            <w:r w:rsidRPr="00290877">
              <w:t>Валюта займа</w:t>
            </w:r>
          </w:p>
        </w:tc>
        <w:tc>
          <w:tcPr>
            <w:tcW w:w="6804" w:type="dxa"/>
          </w:tcPr>
          <w:p w14:paraId="1C9030A0" w14:textId="77777777" w:rsidR="00DE6C6A" w:rsidRPr="00290877" w:rsidRDefault="00DE6C6A" w:rsidP="00290877">
            <w:r w:rsidRPr="00290877">
              <w:t>Российские рубли</w:t>
            </w:r>
          </w:p>
        </w:tc>
      </w:tr>
      <w:tr w:rsidR="00DE6C6A" w:rsidRPr="00290877" w14:paraId="79D87F4C" w14:textId="77777777" w:rsidTr="00285FBE">
        <w:tc>
          <w:tcPr>
            <w:tcW w:w="568" w:type="dxa"/>
            <w:vAlign w:val="center"/>
          </w:tcPr>
          <w:p w14:paraId="1C8D8ECE" w14:textId="77777777" w:rsidR="00DE6C6A" w:rsidRPr="00290877" w:rsidRDefault="00DE6C6A" w:rsidP="00290877">
            <w:r w:rsidRPr="00290877">
              <w:t>4</w:t>
            </w:r>
          </w:p>
        </w:tc>
        <w:tc>
          <w:tcPr>
            <w:tcW w:w="2267" w:type="dxa"/>
            <w:vAlign w:val="center"/>
          </w:tcPr>
          <w:p w14:paraId="7DAC3DE3" w14:textId="77777777" w:rsidR="00DE6C6A" w:rsidRPr="00290877" w:rsidRDefault="00DE6C6A" w:rsidP="00290877">
            <w:r w:rsidRPr="00290877">
              <w:t>Срок займа</w:t>
            </w:r>
          </w:p>
        </w:tc>
        <w:tc>
          <w:tcPr>
            <w:tcW w:w="6804" w:type="dxa"/>
          </w:tcPr>
          <w:p w14:paraId="4EAA6459" w14:textId="39B9C93B" w:rsidR="00DE6C6A" w:rsidRPr="00290877" w:rsidRDefault="00DE6C6A" w:rsidP="00290877">
            <w:r w:rsidRPr="00290877">
              <w:t xml:space="preserve">от 3 до </w:t>
            </w:r>
            <w:r w:rsidR="00AA071F" w:rsidRPr="00290877">
              <w:t>12</w:t>
            </w:r>
            <w:r w:rsidRPr="00290877">
              <w:t xml:space="preserve"> месяцев включительно.</w:t>
            </w:r>
          </w:p>
        </w:tc>
      </w:tr>
      <w:tr w:rsidR="00DE6C6A" w:rsidRPr="00290877" w14:paraId="4B93BCDE" w14:textId="77777777" w:rsidTr="00285FBE">
        <w:tc>
          <w:tcPr>
            <w:tcW w:w="568" w:type="dxa"/>
            <w:vAlign w:val="center"/>
          </w:tcPr>
          <w:p w14:paraId="66A90724" w14:textId="77777777" w:rsidR="00DE6C6A" w:rsidRPr="00290877" w:rsidRDefault="00DE6C6A" w:rsidP="00290877">
            <w:r w:rsidRPr="00290877">
              <w:t>5</w:t>
            </w:r>
          </w:p>
        </w:tc>
        <w:tc>
          <w:tcPr>
            <w:tcW w:w="2267" w:type="dxa"/>
            <w:vAlign w:val="center"/>
          </w:tcPr>
          <w:p w14:paraId="7D83E2F1" w14:textId="77777777" w:rsidR="00DE6C6A" w:rsidRPr="00290877" w:rsidRDefault="00DE6C6A" w:rsidP="00290877">
            <w:r w:rsidRPr="00290877">
              <w:t>Форма предоставления</w:t>
            </w:r>
          </w:p>
        </w:tc>
        <w:tc>
          <w:tcPr>
            <w:tcW w:w="6804" w:type="dxa"/>
          </w:tcPr>
          <w:p w14:paraId="47A622D9" w14:textId="117E039F" w:rsidR="00DE6C6A" w:rsidRPr="00290877" w:rsidRDefault="00290877" w:rsidP="00290877">
            <w:r>
              <w:t>Единор</w:t>
            </w:r>
            <w:r w:rsidR="00DE6C6A" w:rsidRPr="00290877">
              <w:t>азов</w:t>
            </w:r>
            <w:r>
              <w:t>ое</w:t>
            </w:r>
            <w:r w:rsidR="00DE6C6A" w:rsidRPr="00290877">
              <w:t xml:space="preserve"> </w:t>
            </w:r>
            <w:r>
              <w:t>перечисление</w:t>
            </w:r>
          </w:p>
        </w:tc>
      </w:tr>
      <w:tr w:rsidR="00DE6C6A" w:rsidRPr="00290877" w14:paraId="41ED43BB" w14:textId="77777777" w:rsidTr="00285FBE">
        <w:trPr>
          <w:trHeight w:val="866"/>
        </w:trPr>
        <w:tc>
          <w:tcPr>
            <w:tcW w:w="568" w:type="dxa"/>
            <w:vAlign w:val="center"/>
          </w:tcPr>
          <w:p w14:paraId="7DC168E9" w14:textId="77777777" w:rsidR="00DE6C6A" w:rsidRPr="00290877" w:rsidRDefault="00DE6C6A" w:rsidP="00290877">
            <w:r w:rsidRPr="00290877">
              <w:t>6</w:t>
            </w:r>
          </w:p>
        </w:tc>
        <w:tc>
          <w:tcPr>
            <w:tcW w:w="2267" w:type="dxa"/>
            <w:vAlign w:val="center"/>
          </w:tcPr>
          <w:p w14:paraId="7FE2B1CB" w14:textId="77777777" w:rsidR="00DE6C6A" w:rsidRPr="00290877" w:rsidRDefault="00DE6C6A" w:rsidP="00290877">
            <w:r w:rsidRPr="00290877">
              <w:t>Цели финансирования</w:t>
            </w:r>
          </w:p>
        </w:tc>
        <w:tc>
          <w:tcPr>
            <w:tcW w:w="6804" w:type="dxa"/>
          </w:tcPr>
          <w:p w14:paraId="36CBC264" w14:textId="757056DB" w:rsidR="009F6323" w:rsidRPr="00290877" w:rsidRDefault="00DE6C6A" w:rsidP="00290877">
            <w:r w:rsidRPr="00290877">
              <w:t>Пополнение оборотных средств (закупка товарно-материальных ценностей, расчеты с поставщиками и подрядчиками, выплата заработной платы)</w:t>
            </w:r>
            <w:r w:rsidR="009F6323">
              <w:t xml:space="preserve"> </w:t>
            </w:r>
            <w:bookmarkStart w:id="0" w:name="_GoBack"/>
            <w:r w:rsidR="009F6323">
              <w:t>для обеспечения производства средств индивидуальной защиты</w:t>
            </w:r>
            <w:bookmarkEnd w:id="0"/>
          </w:p>
        </w:tc>
      </w:tr>
      <w:tr w:rsidR="00F37CF3" w:rsidRPr="00290877" w14:paraId="3F59EEFF" w14:textId="77777777" w:rsidTr="00285FBE">
        <w:trPr>
          <w:trHeight w:val="1120"/>
        </w:trPr>
        <w:tc>
          <w:tcPr>
            <w:tcW w:w="568" w:type="dxa"/>
            <w:vAlign w:val="center"/>
          </w:tcPr>
          <w:p w14:paraId="464C28C3" w14:textId="77777777" w:rsidR="00F37CF3" w:rsidRPr="00290877" w:rsidRDefault="00F37CF3" w:rsidP="00290877">
            <w:r w:rsidRPr="00290877">
              <w:t>7</w:t>
            </w:r>
          </w:p>
        </w:tc>
        <w:tc>
          <w:tcPr>
            <w:tcW w:w="2267" w:type="dxa"/>
            <w:vAlign w:val="center"/>
          </w:tcPr>
          <w:p w14:paraId="72C493C8" w14:textId="77777777" w:rsidR="00F37CF3" w:rsidRPr="00290877" w:rsidRDefault="00F37CF3" w:rsidP="00290877">
            <w:r w:rsidRPr="00290877">
              <w:t>Процентная ставка</w:t>
            </w:r>
          </w:p>
        </w:tc>
        <w:tc>
          <w:tcPr>
            <w:tcW w:w="6804" w:type="dxa"/>
          </w:tcPr>
          <w:p w14:paraId="7A6662C7" w14:textId="6D63F5EF" w:rsidR="00F37CF3" w:rsidRPr="00290877" w:rsidRDefault="00F37CF3" w:rsidP="00290877">
            <w:r w:rsidRPr="00290877">
              <w:t>В соответствии с действующей Продуктовой линейкой микрозаймов ООО «МКК Костромской области», утвержденной Решением единственного участника.</w:t>
            </w:r>
          </w:p>
          <w:p w14:paraId="2EDEBFBF" w14:textId="77777777" w:rsidR="00F37CF3" w:rsidRPr="00290877" w:rsidRDefault="00F37CF3" w:rsidP="00290877"/>
          <w:p w14:paraId="6494E674" w14:textId="187D23A6" w:rsidR="00F37CF3" w:rsidRPr="00290877" w:rsidRDefault="00F37CF3" w:rsidP="00290877">
            <w:r w:rsidRPr="00290877">
              <w:t>1% годовых</w:t>
            </w:r>
          </w:p>
        </w:tc>
      </w:tr>
      <w:tr w:rsidR="00DE6C6A" w:rsidRPr="00290877" w14:paraId="70DB4650" w14:textId="77777777" w:rsidTr="00285FBE">
        <w:tc>
          <w:tcPr>
            <w:tcW w:w="568" w:type="dxa"/>
            <w:vAlign w:val="center"/>
          </w:tcPr>
          <w:p w14:paraId="783273F7" w14:textId="77777777" w:rsidR="00DE6C6A" w:rsidRPr="00290877" w:rsidRDefault="00DE6C6A" w:rsidP="00290877">
            <w:r w:rsidRPr="00290877">
              <w:t>8</w:t>
            </w:r>
          </w:p>
        </w:tc>
        <w:tc>
          <w:tcPr>
            <w:tcW w:w="2267" w:type="dxa"/>
            <w:vAlign w:val="center"/>
          </w:tcPr>
          <w:p w14:paraId="4297C7F0" w14:textId="77777777" w:rsidR="00DE6C6A" w:rsidRPr="00290877" w:rsidRDefault="00DE6C6A" w:rsidP="00290877">
            <w:r w:rsidRPr="00290877">
              <w:t>Порядок погашения основного долга</w:t>
            </w:r>
          </w:p>
        </w:tc>
        <w:tc>
          <w:tcPr>
            <w:tcW w:w="6804" w:type="dxa"/>
          </w:tcPr>
          <w:p w14:paraId="53DE09BE" w14:textId="77777777" w:rsidR="00DE6C6A" w:rsidRPr="00290877" w:rsidRDefault="00DE6C6A" w:rsidP="00290877">
            <w:r w:rsidRPr="00290877">
              <w:t>аннуитетные платежи (ежемесячно);</w:t>
            </w:r>
          </w:p>
          <w:p w14:paraId="0828A9C6" w14:textId="3803F693" w:rsidR="00DE6C6A" w:rsidRPr="00290877" w:rsidRDefault="00DE6C6A" w:rsidP="00290877">
            <w:r w:rsidRPr="00290877">
              <w:t>индивидуальный график (бизнес должен иметь сезонный характер).</w:t>
            </w:r>
          </w:p>
          <w:p w14:paraId="1B05CC0D" w14:textId="77777777" w:rsidR="00DE6C6A" w:rsidRPr="00290877" w:rsidRDefault="00DE6C6A" w:rsidP="00290877"/>
          <w:p w14:paraId="4871CE43" w14:textId="77777777" w:rsidR="00DE6C6A" w:rsidRPr="00290877" w:rsidRDefault="00DE6C6A" w:rsidP="00290877">
            <w:r w:rsidRPr="00290877">
              <w:t xml:space="preserve">Допускается отсрочка погашения основного долга не более 6 месяцев (включительно).   </w:t>
            </w:r>
          </w:p>
          <w:p w14:paraId="5102BB61" w14:textId="77777777" w:rsidR="00DE6C6A" w:rsidRPr="00290877" w:rsidRDefault="00DE6C6A" w:rsidP="00290877">
            <w:r w:rsidRPr="00290877">
              <w:t>Погашение микрозайма осуществляется путем перечисления денежных средств со счета Заемщика на расчетный счет ООО «МКК Костромской области». Датой погашения займа является дата поступления денежных средств Заемщика на счет ООО «МКК Костромской области».</w:t>
            </w:r>
          </w:p>
        </w:tc>
      </w:tr>
      <w:tr w:rsidR="00DE6C6A" w:rsidRPr="00290877" w14:paraId="033C2B31" w14:textId="77777777" w:rsidTr="00285FBE">
        <w:trPr>
          <w:trHeight w:val="1548"/>
        </w:trPr>
        <w:tc>
          <w:tcPr>
            <w:tcW w:w="568" w:type="dxa"/>
            <w:vAlign w:val="center"/>
          </w:tcPr>
          <w:p w14:paraId="27254F3E" w14:textId="77777777" w:rsidR="00DE6C6A" w:rsidRPr="00290877" w:rsidRDefault="00DE6C6A" w:rsidP="00290877">
            <w:r w:rsidRPr="00290877">
              <w:t>9</w:t>
            </w:r>
          </w:p>
        </w:tc>
        <w:tc>
          <w:tcPr>
            <w:tcW w:w="2267" w:type="dxa"/>
            <w:vAlign w:val="center"/>
          </w:tcPr>
          <w:p w14:paraId="5D5DD1D1" w14:textId="77777777" w:rsidR="00DE6C6A" w:rsidRPr="00290877" w:rsidRDefault="00DE6C6A" w:rsidP="00290877">
            <w:r w:rsidRPr="00290877">
              <w:t>Залог (для займа «</w:t>
            </w:r>
            <w:r w:rsidR="00E07D5F" w:rsidRPr="00290877">
              <w:t>Экстренный</w:t>
            </w:r>
            <w:r w:rsidRPr="00290877">
              <w:t>» с залогом)</w:t>
            </w:r>
          </w:p>
        </w:tc>
        <w:tc>
          <w:tcPr>
            <w:tcW w:w="6804" w:type="dxa"/>
          </w:tcPr>
          <w:p w14:paraId="73472606" w14:textId="77777777" w:rsidR="00DE6C6A" w:rsidRPr="00290877" w:rsidRDefault="00DE6C6A" w:rsidP="00290877">
            <w:r w:rsidRPr="00290877">
              <w:t>Залог:</w:t>
            </w:r>
          </w:p>
          <w:p w14:paraId="0B8AB1FD" w14:textId="77777777" w:rsidR="00DE6C6A" w:rsidRPr="00290877" w:rsidRDefault="00DE6C6A" w:rsidP="00290877">
            <w:r w:rsidRPr="00290877">
              <w:t>имущества</w:t>
            </w:r>
            <w:r w:rsidRPr="00290877">
              <w:rPr>
                <w:vertAlign w:val="superscript"/>
              </w:rPr>
              <w:footnoteReference w:id="1"/>
            </w:r>
            <w:r w:rsidRPr="00290877">
              <w:t xml:space="preserve"> (автотранспорт, спецтехника, оборудование, недвижимое имущество);</w:t>
            </w:r>
          </w:p>
          <w:p w14:paraId="62DAE97C" w14:textId="08817EB5" w:rsidR="00DE6C6A" w:rsidRPr="00290877" w:rsidRDefault="00DE6C6A" w:rsidP="00290877">
            <w:r w:rsidRPr="00290877">
              <w:t>поручительство Гарантийного фонда Костромской области (приравниваются к залогу недвижимого имущества)</w:t>
            </w:r>
            <w:r w:rsidR="00E07D5F" w:rsidRPr="00290877">
              <w:t xml:space="preserve"> до </w:t>
            </w:r>
            <w:r w:rsidR="00F37CF3" w:rsidRPr="00290877">
              <w:t>5</w:t>
            </w:r>
            <w:r w:rsidR="00E07D5F" w:rsidRPr="00290877">
              <w:t xml:space="preserve">0% </w:t>
            </w:r>
            <w:r w:rsidR="00F37CF3" w:rsidRPr="00290877">
              <w:t>от суммы микрозайма</w:t>
            </w:r>
            <w:r w:rsidRPr="00290877">
              <w:t>.</w:t>
            </w:r>
          </w:p>
        </w:tc>
      </w:tr>
      <w:tr w:rsidR="00DE6C6A" w:rsidRPr="00290877" w14:paraId="3718FC3A" w14:textId="77777777" w:rsidTr="00285FBE">
        <w:tc>
          <w:tcPr>
            <w:tcW w:w="568" w:type="dxa"/>
            <w:vAlign w:val="center"/>
          </w:tcPr>
          <w:p w14:paraId="3651B4EB" w14:textId="77777777" w:rsidR="00DE6C6A" w:rsidRPr="00290877" w:rsidRDefault="00DE6C6A" w:rsidP="00290877">
            <w:r w:rsidRPr="00290877">
              <w:t>10</w:t>
            </w:r>
          </w:p>
        </w:tc>
        <w:tc>
          <w:tcPr>
            <w:tcW w:w="2267" w:type="dxa"/>
            <w:vAlign w:val="center"/>
          </w:tcPr>
          <w:p w14:paraId="7796651A" w14:textId="77777777" w:rsidR="00DE6C6A" w:rsidRPr="00290877" w:rsidRDefault="00DE6C6A" w:rsidP="00290877">
            <w:r w:rsidRPr="00290877">
              <w:t>Степень обеспеченности (для займа «</w:t>
            </w:r>
            <w:r w:rsidR="00E07D5F" w:rsidRPr="00290877">
              <w:t>Экстренный</w:t>
            </w:r>
            <w:r w:rsidRPr="00290877">
              <w:t>» с залогом)</w:t>
            </w:r>
          </w:p>
        </w:tc>
        <w:tc>
          <w:tcPr>
            <w:tcW w:w="6804" w:type="dxa"/>
          </w:tcPr>
          <w:p w14:paraId="5FB17D18" w14:textId="77777777" w:rsidR="00DE6C6A" w:rsidRPr="00290877" w:rsidRDefault="00E07D5F" w:rsidP="00290877">
            <w:r w:rsidRPr="00290877">
              <w:t>Не менее 8</w:t>
            </w:r>
            <w:r w:rsidR="00DE6C6A" w:rsidRPr="00290877">
              <w:t>0%</w:t>
            </w:r>
          </w:p>
        </w:tc>
      </w:tr>
      <w:tr w:rsidR="00DE6C6A" w:rsidRPr="00290877" w14:paraId="0FEDD3B0" w14:textId="77777777" w:rsidTr="00285FBE">
        <w:tc>
          <w:tcPr>
            <w:tcW w:w="568" w:type="dxa"/>
            <w:vAlign w:val="center"/>
          </w:tcPr>
          <w:p w14:paraId="5491163C" w14:textId="77777777" w:rsidR="00DE6C6A" w:rsidRPr="00290877" w:rsidRDefault="00DE6C6A" w:rsidP="00290877">
            <w:r w:rsidRPr="00290877">
              <w:t>11</w:t>
            </w:r>
          </w:p>
        </w:tc>
        <w:tc>
          <w:tcPr>
            <w:tcW w:w="2267" w:type="dxa"/>
            <w:vAlign w:val="center"/>
          </w:tcPr>
          <w:p w14:paraId="5D0EDB7B" w14:textId="77777777" w:rsidR="00DE6C6A" w:rsidRPr="00290877" w:rsidRDefault="00DE6C6A" w:rsidP="00290877">
            <w:r w:rsidRPr="00290877">
              <w:t>Поручительство</w:t>
            </w:r>
          </w:p>
        </w:tc>
        <w:tc>
          <w:tcPr>
            <w:tcW w:w="6804" w:type="dxa"/>
          </w:tcPr>
          <w:p w14:paraId="1E06D5CD" w14:textId="1304ED71" w:rsidR="00DE6C6A" w:rsidRPr="00290877" w:rsidRDefault="0019319C" w:rsidP="00290877">
            <w:r>
              <w:t>Ф</w:t>
            </w:r>
            <w:r w:rsidR="00DE6C6A" w:rsidRPr="00290877">
              <w:t>изического лица (для заемщика – ИП), поручительство супруга/супруги обязательно;</w:t>
            </w:r>
          </w:p>
          <w:p w14:paraId="0744E454" w14:textId="77777777" w:rsidR="00DE6C6A" w:rsidRPr="00290877" w:rsidRDefault="00DE6C6A" w:rsidP="00290877">
            <w:r w:rsidRPr="00290877">
              <w:lastRenderedPageBreak/>
              <w:t>фактических собственников (определяются кредитным аналитиком экспертным путем), исключение по решению Экспертного комитета;</w:t>
            </w:r>
          </w:p>
          <w:p w14:paraId="78F82F99" w14:textId="2B6BDFCA" w:rsidR="00DE6C6A" w:rsidRPr="00290877" w:rsidRDefault="00DE6C6A" w:rsidP="00290877">
            <w:r w:rsidRPr="00290877">
              <w:t>акционеров/участников, владеющих не менее 2</w:t>
            </w:r>
            <w:r w:rsidR="00F37CF3" w:rsidRPr="00290877">
              <w:t>0</w:t>
            </w:r>
            <w:r w:rsidRPr="00290877">
              <w:t xml:space="preserve">% акций/долей в уставном капитале Клиента (для заемщика – юр лица); </w:t>
            </w:r>
          </w:p>
          <w:p w14:paraId="6446EC8D" w14:textId="74E4A727" w:rsidR="00DE6C6A" w:rsidRPr="00290877" w:rsidRDefault="00DE6C6A" w:rsidP="00290877">
            <w:r w:rsidRPr="00290877">
              <w:t xml:space="preserve">взаимосвязанные компании </w:t>
            </w:r>
            <w:r w:rsidR="00290877" w:rsidRPr="00290877">
              <w:t>(</w:t>
            </w:r>
            <w:r w:rsidRPr="00290877">
              <w:t>исключение по решению Экспертного комитета</w:t>
            </w:r>
            <w:r w:rsidR="00290877" w:rsidRPr="00290877">
              <w:t>)</w:t>
            </w:r>
          </w:p>
        </w:tc>
      </w:tr>
      <w:tr w:rsidR="00285FBE" w:rsidRPr="00285FBE" w14:paraId="631083AE" w14:textId="77777777" w:rsidTr="00285FBE">
        <w:tc>
          <w:tcPr>
            <w:tcW w:w="568" w:type="dxa"/>
            <w:tcBorders>
              <w:top w:val="single" w:sz="4" w:space="0" w:color="auto"/>
              <w:left w:val="single" w:sz="4" w:space="0" w:color="auto"/>
              <w:bottom w:val="single" w:sz="4" w:space="0" w:color="auto"/>
              <w:right w:val="single" w:sz="4" w:space="0" w:color="auto"/>
            </w:tcBorders>
            <w:vAlign w:val="center"/>
          </w:tcPr>
          <w:p w14:paraId="31DEC115" w14:textId="77777777" w:rsidR="00DE6C6A" w:rsidRPr="00285FBE" w:rsidRDefault="00DE6C6A" w:rsidP="00290877">
            <w:r w:rsidRPr="00285FBE">
              <w:lastRenderedPageBreak/>
              <w:t>12</w:t>
            </w:r>
          </w:p>
        </w:tc>
        <w:tc>
          <w:tcPr>
            <w:tcW w:w="2267" w:type="dxa"/>
            <w:tcBorders>
              <w:top w:val="single" w:sz="4" w:space="0" w:color="auto"/>
              <w:left w:val="single" w:sz="4" w:space="0" w:color="auto"/>
              <w:bottom w:val="single" w:sz="4" w:space="0" w:color="auto"/>
              <w:right w:val="single" w:sz="4" w:space="0" w:color="auto"/>
            </w:tcBorders>
            <w:vAlign w:val="center"/>
          </w:tcPr>
          <w:p w14:paraId="49A21AAB" w14:textId="77777777" w:rsidR="00DE6C6A" w:rsidRPr="00285FBE" w:rsidRDefault="00DE6C6A" w:rsidP="00290877">
            <w:r w:rsidRPr="00285FBE">
              <w:t>Порядок начисления и уплаты процентов</w:t>
            </w:r>
          </w:p>
        </w:tc>
        <w:tc>
          <w:tcPr>
            <w:tcW w:w="6804" w:type="dxa"/>
            <w:tcBorders>
              <w:top w:val="single" w:sz="4" w:space="0" w:color="auto"/>
              <w:left w:val="single" w:sz="4" w:space="0" w:color="auto"/>
              <w:bottom w:val="single" w:sz="4" w:space="0" w:color="auto"/>
              <w:right w:val="single" w:sz="4" w:space="0" w:color="auto"/>
            </w:tcBorders>
          </w:tcPr>
          <w:p w14:paraId="6AE5FC5E" w14:textId="77777777" w:rsidR="00DE6C6A" w:rsidRPr="00285FBE" w:rsidRDefault="00DE6C6A" w:rsidP="00290877">
            <w:r w:rsidRPr="00285FBE">
              <w:t xml:space="preserve">Проценты по микрозайму начисляются на срочную задолженность по основному долгу, начиная с даты, следующей за датой предоставления микрозайма, и до даты полного погашения микрозайма. </w:t>
            </w:r>
          </w:p>
          <w:p w14:paraId="140F91B8" w14:textId="77777777" w:rsidR="00DE6C6A" w:rsidRPr="00285FBE" w:rsidRDefault="00DE6C6A" w:rsidP="00290877">
            <w:r w:rsidRPr="00285FBE">
              <w:t xml:space="preserve">Уплата начисленных процентов производится ежемесячно по графику, установленному договором целевого займа. </w:t>
            </w:r>
          </w:p>
          <w:p w14:paraId="34560527" w14:textId="7AAE2D88" w:rsidR="00DE6C6A" w:rsidRPr="00285FBE" w:rsidRDefault="00DE6C6A" w:rsidP="00290877">
            <w:r w:rsidRPr="00285FBE">
              <w:t xml:space="preserve">Погашение процентов за пользование микрозаймом осуществляется путем перечисления денежных средств со счета Заемщика на расчетный счет ООО «МКК Костромской области». </w:t>
            </w:r>
          </w:p>
        </w:tc>
      </w:tr>
      <w:tr w:rsidR="00DE6C6A" w:rsidRPr="00290877" w14:paraId="4CD1EFE2" w14:textId="77777777" w:rsidTr="00285FBE">
        <w:trPr>
          <w:trHeight w:val="231"/>
        </w:trPr>
        <w:tc>
          <w:tcPr>
            <w:tcW w:w="568" w:type="dxa"/>
            <w:tcBorders>
              <w:top w:val="single" w:sz="4" w:space="0" w:color="auto"/>
              <w:left w:val="single" w:sz="4" w:space="0" w:color="auto"/>
              <w:bottom w:val="single" w:sz="4" w:space="0" w:color="auto"/>
              <w:right w:val="single" w:sz="4" w:space="0" w:color="auto"/>
            </w:tcBorders>
            <w:vAlign w:val="center"/>
          </w:tcPr>
          <w:p w14:paraId="0B98943D" w14:textId="77777777" w:rsidR="00DE6C6A" w:rsidRPr="00290877" w:rsidRDefault="00DE6C6A" w:rsidP="00290877">
            <w:r w:rsidRPr="00290877">
              <w:t>13</w:t>
            </w:r>
          </w:p>
        </w:tc>
        <w:tc>
          <w:tcPr>
            <w:tcW w:w="2267" w:type="dxa"/>
            <w:tcBorders>
              <w:top w:val="single" w:sz="4" w:space="0" w:color="auto"/>
              <w:left w:val="single" w:sz="4" w:space="0" w:color="auto"/>
              <w:bottom w:val="single" w:sz="4" w:space="0" w:color="auto"/>
              <w:right w:val="single" w:sz="4" w:space="0" w:color="auto"/>
            </w:tcBorders>
            <w:vAlign w:val="center"/>
          </w:tcPr>
          <w:p w14:paraId="777B9C75" w14:textId="77777777" w:rsidR="00DE6C6A" w:rsidRPr="00290877" w:rsidRDefault="00DE6C6A" w:rsidP="00290877">
            <w:r w:rsidRPr="00290877">
              <w:t>Комиссия за предоставление микрозайма</w:t>
            </w:r>
          </w:p>
        </w:tc>
        <w:tc>
          <w:tcPr>
            <w:tcW w:w="6804" w:type="dxa"/>
            <w:tcBorders>
              <w:top w:val="single" w:sz="4" w:space="0" w:color="auto"/>
              <w:left w:val="single" w:sz="4" w:space="0" w:color="auto"/>
              <w:bottom w:val="single" w:sz="4" w:space="0" w:color="auto"/>
              <w:right w:val="single" w:sz="4" w:space="0" w:color="auto"/>
            </w:tcBorders>
          </w:tcPr>
          <w:p w14:paraId="726CA3B9" w14:textId="77777777" w:rsidR="00E07D5F" w:rsidRPr="00290877" w:rsidRDefault="00E07D5F" w:rsidP="00290877">
            <w:r w:rsidRPr="00290877">
              <w:t>0% годовых</w:t>
            </w:r>
          </w:p>
        </w:tc>
      </w:tr>
      <w:tr w:rsidR="00DE6C6A" w:rsidRPr="00290877" w14:paraId="74A4916A" w14:textId="77777777" w:rsidTr="00285FBE">
        <w:trPr>
          <w:trHeight w:val="70"/>
        </w:trPr>
        <w:tc>
          <w:tcPr>
            <w:tcW w:w="568" w:type="dxa"/>
            <w:tcBorders>
              <w:top w:val="single" w:sz="4" w:space="0" w:color="auto"/>
              <w:left w:val="single" w:sz="4" w:space="0" w:color="auto"/>
              <w:bottom w:val="single" w:sz="4" w:space="0" w:color="auto"/>
              <w:right w:val="single" w:sz="4" w:space="0" w:color="auto"/>
            </w:tcBorders>
            <w:vAlign w:val="center"/>
          </w:tcPr>
          <w:p w14:paraId="2CEC9EB9" w14:textId="77777777" w:rsidR="00DE6C6A" w:rsidRPr="00290877" w:rsidRDefault="00DE6C6A" w:rsidP="00290877">
            <w:r w:rsidRPr="00290877">
              <w:t>14</w:t>
            </w:r>
          </w:p>
        </w:tc>
        <w:tc>
          <w:tcPr>
            <w:tcW w:w="2267" w:type="dxa"/>
            <w:tcBorders>
              <w:top w:val="single" w:sz="4" w:space="0" w:color="auto"/>
              <w:left w:val="single" w:sz="4" w:space="0" w:color="auto"/>
              <w:bottom w:val="single" w:sz="4" w:space="0" w:color="auto"/>
              <w:right w:val="single" w:sz="4" w:space="0" w:color="auto"/>
            </w:tcBorders>
            <w:vAlign w:val="center"/>
          </w:tcPr>
          <w:p w14:paraId="0C91EF16" w14:textId="77777777" w:rsidR="00DE6C6A" w:rsidRPr="00290877" w:rsidRDefault="00DE6C6A" w:rsidP="00290877">
            <w:r w:rsidRPr="00290877">
              <w:t>Комиссия за досрочный возврат микрозайма</w:t>
            </w:r>
          </w:p>
        </w:tc>
        <w:tc>
          <w:tcPr>
            <w:tcW w:w="6804" w:type="dxa"/>
            <w:tcBorders>
              <w:top w:val="single" w:sz="4" w:space="0" w:color="auto"/>
              <w:left w:val="single" w:sz="4" w:space="0" w:color="auto"/>
              <w:bottom w:val="single" w:sz="4" w:space="0" w:color="auto"/>
              <w:right w:val="single" w:sz="4" w:space="0" w:color="auto"/>
            </w:tcBorders>
          </w:tcPr>
          <w:p w14:paraId="558DC43B" w14:textId="0E431B7F" w:rsidR="00DE6C6A" w:rsidRPr="00290877" w:rsidRDefault="00DE6C6A" w:rsidP="00290877">
            <w:r w:rsidRPr="00290877">
              <w:t>Не предусмотрена</w:t>
            </w:r>
            <w:r w:rsidR="0019319C">
              <w:t>.</w:t>
            </w:r>
          </w:p>
          <w:p w14:paraId="3AADEFD7" w14:textId="618D79AD" w:rsidR="00DE6C6A" w:rsidRPr="00290877" w:rsidRDefault="0019319C" w:rsidP="00290877">
            <w:r>
              <w:t>Д</w:t>
            </w:r>
            <w:r w:rsidR="00DE6C6A" w:rsidRPr="00290877">
              <w:t>осрочно</w:t>
            </w:r>
            <w:r>
              <w:t>е</w:t>
            </w:r>
            <w:r w:rsidR="00DE6C6A" w:rsidRPr="00290877">
              <w:t xml:space="preserve"> погашени</w:t>
            </w:r>
            <w:r>
              <w:t>е</w:t>
            </w:r>
            <w:r w:rsidR="00DE6C6A" w:rsidRPr="00290877">
              <w:t xml:space="preserve"> </w:t>
            </w:r>
            <w:r>
              <w:t>З</w:t>
            </w:r>
            <w:r w:rsidR="00DE6C6A" w:rsidRPr="00290877">
              <w:t xml:space="preserve">аемщик обязан </w:t>
            </w:r>
            <w:r>
              <w:t>согласовать с</w:t>
            </w:r>
            <w:r w:rsidR="00DE6C6A" w:rsidRPr="00290877">
              <w:t xml:space="preserve"> Заимодавц</w:t>
            </w:r>
            <w:r>
              <w:t>ем, уведомив</w:t>
            </w:r>
            <w:r w:rsidR="00DE6C6A" w:rsidRPr="00290877">
              <w:t xml:space="preserve"> не позднее чем за 10 (Десять) рабочих дней до даты досрочного погашения. </w:t>
            </w:r>
          </w:p>
          <w:p w14:paraId="3DD6CDDE" w14:textId="77777777" w:rsidR="00DE6C6A" w:rsidRPr="00290877" w:rsidRDefault="00DE6C6A" w:rsidP="00290877">
            <w:r w:rsidRPr="00290877">
              <w:t>При осуществлении частичного досрочного погашения микрозайма происходит изменение дальнейшего порядка погашения займа в части уменьшения размера ежемесячного платежа или срока займа.</w:t>
            </w:r>
          </w:p>
        </w:tc>
      </w:tr>
      <w:tr w:rsidR="00DE6C6A" w:rsidRPr="00290877" w14:paraId="4091B63B" w14:textId="77777777" w:rsidTr="00285FBE">
        <w:tc>
          <w:tcPr>
            <w:tcW w:w="568" w:type="dxa"/>
            <w:vAlign w:val="center"/>
          </w:tcPr>
          <w:p w14:paraId="686B928E" w14:textId="77777777" w:rsidR="00DE6C6A" w:rsidRPr="00290877" w:rsidRDefault="00DE6C6A" w:rsidP="00290877">
            <w:r w:rsidRPr="00290877">
              <w:t>15</w:t>
            </w:r>
          </w:p>
        </w:tc>
        <w:tc>
          <w:tcPr>
            <w:tcW w:w="2267" w:type="dxa"/>
            <w:vAlign w:val="center"/>
          </w:tcPr>
          <w:p w14:paraId="01E245F4" w14:textId="77777777" w:rsidR="00DE6C6A" w:rsidRPr="00290877" w:rsidRDefault="00DE6C6A" w:rsidP="00290877">
            <w:r w:rsidRPr="00290877">
              <w:t>Комиссия за внесение изменений в кредитно-обеспечительную документацию по инициативе Клиента</w:t>
            </w:r>
          </w:p>
        </w:tc>
        <w:tc>
          <w:tcPr>
            <w:tcW w:w="6804" w:type="dxa"/>
          </w:tcPr>
          <w:p w14:paraId="60A2587D" w14:textId="77777777" w:rsidR="00DE6C6A" w:rsidRPr="00290877" w:rsidRDefault="00DE6C6A" w:rsidP="00290877">
            <w:r w:rsidRPr="00290877">
              <w:t>3 000 (три тысячи) рублей.</w:t>
            </w:r>
          </w:p>
          <w:p w14:paraId="4F298BC1" w14:textId="77777777" w:rsidR="00DE6C6A" w:rsidRPr="00290877" w:rsidRDefault="00DE6C6A" w:rsidP="00290877"/>
          <w:p w14:paraId="07E33B84" w14:textId="02ED6DDF" w:rsidR="00DE6C6A" w:rsidRPr="00290877" w:rsidRDefault="00DE6C6A" w:rsidP="00290877">
            <w:r w:rsidRPr="00290877">
              <w:t>Оплата осуществляется за счет собственных средств Заемщика до заключения дополнительного соглашения к кредитно-обеспечительным договорам с расчетного счета Заемщика на расчетный счет ООО «МКК Костромской области».</w:t>
            </w:r>
          </w:p>
          <w:p w14:paraId="336EE69C" w14:textId="77777777" w:rsidR="00DE6C6A" w:rsidRPr="00290877" w:rsidRDefault="00DE6C6A" w:rsidP="00290877">
            <w:r w:rsidRPr="00290877">
              <w:t xml:space="preserve"> </w:t>
            </w:r>
          </w:p>
        </w:tc>
      </w:tr>
      <w:tr w:rsidR="00DE6C6A" w:rsidRPr="00290877" w14:paraId="4798709D" w14:textId="77777777" w:rsidTr="00285FBE">
        <w:tc>
          <w:tcPr>
            <w:tcW w:w="568" w:type="dxa"/>
            <w:vAlign w:val="center"/>
          </w:tcPr>
          <w:p w14:paraId="3108BAD2" w14:textId="77777777" w:rsidR="00DE6C6A" w:rsidRPr="00290877" w:rsidRDefault="00DE6C6A" w:rsidP="00290877">
            <w:r w:rsidRPr="00290877">
              <w:t>16</w:t>
            </w:r>
          </w:p>
        </w:tc>
        <w:tc>
          <w:tcPr>
            <w:tcW w:w="2267" w:type="dxa"/>
            <w:vAlign w:val="center"/>
          </w:tcPr>
          <w:p w14:paraId="36F3C569" w14:textId="77777777" w:rsidR="00DE6C6A" w:rsidRPr="00290877" w:rsidRDefault="00DE6C6A" w:rsidP="00290877">
            <w:r w:rsidRPr="00290877">
              <w:t>Срок действия решения Экспертного комитета</w:t>
            </w:r>
          </w:p>
        </w:tc>
        <w:tc>
          <w:tcPr>
            <w:tcW w:w="6804" w:type="dxa"/>
          </w:tcPr>
          <w:p w14:paraId="40E90CAF" w14:textId="77777777" w:rsidR="00DE6C6A" w:rsidRPr="00290877" w:rsidRDefault="00DE6C6A" w:rsidP="00290877">
            <w:r w:rsidRPr="00290877">
              <w:t>30 (тридцать) календарных дней</w:t>
            </w:r>
          </w:p>
        </w:tc>
      </w:tr>
      <w:tr w:rsidR="00DE6C6A" w:rsidRPr="00290877" w14:paraId="23CDD5DF" w14:textId="77777777" w:rsidTr="00285FBE">
        <w:tc>
          <w:tcPr>
            <w:tcW w:w="568" w:type="dxa"/>
            <w:vAlign w:val="center"/>
          </w:tcPr>
          <w:p w14:paraId="3E25051C" w14:textId="77777777" w:rsidR="00DE6C6A" w:rsidRPr="00290877" w:rsidRDefault="00DE6C6A" w:rsidP="00290877">
            <w:r w:rsidRPr="00290877">
              <w:t>17</w:t>
            </w:r>
          </w:p>
        </w:tc>
        <w:tc>
          <w:tcPr>
            <w:tcW w:w="2267" w:type="dxa"/>
            <w:vAlign w:val="center"/>
          </w:tcPr>
          <w:p w14:paraId="2D41E75A" w14:textId="77777777" w:rsidR="00DE6C6A" w:rsidRPr="00290877" w:rsidRDefault="00DE6C6A" w:rsidP="00290877">
            <w:r w:rsidRPr="00290877">
              <w:t>Страхование обеспеченности (для займа «</w:t>
            </w:r>
            <w:r w:rsidR="00E07D5F" w:rsidRPr="00290877">
              <w:t>Экстренный</w:t>
            </w:r>
            <w:r w:rsidRPr="00290877">
              <w:t>» с залогом)</w:t>
            </w:r>
          </w:p>
        </w:tc>
        <w:tc>
          <w:tcPr>
            <w:tcW w:w="6804" w:type="dxa"/>
          </w:tcPr>
          <w:p w14:paraId="54553BEA" w14:textId="77777777" w:rsidR="00DE6C6A" w:rsidRPr="00290877" w:rsidRDefault="00DE6C6A" w:rsidP="00290877">
            <w:r w:rsidRPr="00290877">
              <w:t>Обязательное страхование недвижимого имущества (за исключением земельных участков).</w:t>
            </w:r>
          </w:p>
          <w:p w14:paraId="64E86024" w14:textId="7413CC49" w:rsidR="00DE6C6A" w:rsidRPr="00290877" w:rsidRDefault="00DE6C6A" w:rsidP="00290877">
            <w:r w:rsidRPr="00290877">
              <w:t xml:space="preserve">Страхование иного залогового обеспечения </w:t>
            </w:r>
            <w:r w:rsidR="0019319C">
              <w:t>–</w:t>
            </w:r>
            <w:r w:rsidRPr="00290877">
              <w:t xml:space="preserve"> по решению Экспертного комитета. </w:t>
            </w:r>
          </w:p>
          <w:p w14:paraId="0F9A0C12" w14:textId="3F8290AF" w:rsidR="00DE6C6A" w:rsidRPr="00290877" w:rsidRDefault="00DE6C6A" w:rsidP="00290877">
            <w:r w:rsidRPr="00290877">
              <w:t xml:space="preserve">В случае нарушения условий страхования предусматривается право ООО «МКК Костромской области» на применение штрафных санкций, предусмотренных договором целевого займа. </w:t>
            </w:r>
          </w:p>
        </w:tc>
      </w:tr>
      <w:tr w:rsidR="00DE6C6A" w:rsidRPr="00290877" w14:paraId="3D1D2391" w14:textId="77777777" w:rsidTr="00285FBE">
        <w:tc>
          <w:tcPr>
            <w:tcW w:w="568" w:type="dxa"/>
            <w:vAlign w:val="center"/>
          </w:tcPr>
          <w:p w14:paraId="2A92A2DB" w14:textId="77777777" w:rsidR="00DE6C6A" w:rsidRPr="00290877" w:rsidRDefault="00DE6C6A" w:rsidP="00290877">
            <w:r w:rsidRPr="00290877">
              <w:t>18</w:t>
            </w:r>
          </w:p>
        </w:tc>
        <w:tc>
          <w:tcPr>
            <w:tcW w:w="2267" w:type="dxa"/>
            <w:vAlign w:val="center"/>
          </w:tcPr>
          <w:p w14:paraId="567E730A" w14:textId="77777777" w:rsidR="00DE6C6A" w:rsidRPr="00290877" w:rsidRDefault="00DE6C6A" w:rsidP="00290877">
            <w:r w:rsidRPr="00290877">
              <w:t>Дополнительные условия</w:t>
            </w:r>
          </w:p>
        </w:tc>
        <w:tc>
          <w:tcPr>
            <w:tcW w:w="6804" w:type="dxa"/>
          </w:tcPr>
          <w:p w14:paraId="4C102B69" w14:textId="699CAA4C" w:rsidR="00E07D5F" w:rsidRPr="00290877" w:rsidRDefault="00DE6C6A" w:rsidP="00290877">
            <w:r w:rsidRPr="00290877">
              <w:t xml:space="preserve">Вид деятельности Заемщика должен относиться к </w:t>
            </w:r>
            <w:r w:rsidR="00E07D5F" w:rsidRPr="00290877">
              <w:t xml:space="preserve">производству средств индивидуальной защиты (маски, респираторы, противочумные костюмы и </w:t>
            </w:r>
            <w:proofErr w:type="gramStart"/>
            <w:r w:rsidR="00E07D5F" w:rsidRPr="00290877">
              <w:t>т.д.</w:t>
            </w:r>
            <w:proofErr w:type="gramEnd"/>
            <w:r w:rsidR="00E07D5F" w:rsidRPr="00290877">
              <w:t>) и</w:t>
            </w:r>
            <w:r w:rsidR="00290877" w:rsidRPr="00290877">
              <w:t xml:space="preserve"> </w:t>
            </w:r>
            <w:r w:rsidR="00E07D5F" w:rsidRPr="00290877">
              <w:t>(или) материалов для их изготовления.</w:t>
            </w:r>
          </w:p>
          <w:p w14:paraId="235E40C0" w14:textId="2F3394B1" w:rsidR="00E07D5F" w:rsidRPr="00290877" w:rsidRDefault="00A8197C" w:rsidP="00290877">
            <w:r w:rsidRPr="00290877">
              <w:lastRenderedPageBreak/>
              <w:t xml:space="preserve">Финансовый анализ </w:t>
            </w:r>
            <w:r w:rsidR="00D30C6C">
              <w:t>не проводится</w:t>
            </w:r>
            <w:r w:rsidRPr="00290877">
              <w:t>. Заявка рассматривается в течени</w:t>
            </w:r>
            <w:r w:rsidR="0019319C">
              <w:t>е</w:t>
            </w:r>
            <w:r w:rsidRPr="00290877">
              <w:t xml:space="preserve"> </w:t>
            </w:r>
            <w:r w:rsidR="0019319C">
              <w:t>одного</w:t>
            </w:r>
            <w:r w:rsidRPr="00290877">
              <w:t xml:space="preserve"> рабочего дня с момента предоставления полного пакета документов </w:t>
            </w:r>
            <w:r w:rsidR="00D30C6C">
              <w:t xml:space="preserve">в </w:t>
            </w:r>
            <w:r w:rsidRPr="00290877">
              <w:t xml:space="preserve">соответствии с Правилами предоставления микрозаймов. </w:t>
            </w:r>
          </w:p>
          <w:p w14:paraId="71E6C4E9" w14:textId="77777777" w:rsidR="00DE6C6A" w:rsidRPr="00290877" w:rsidRDefault="00DE6C6A" w:rsidP="00290877">
            <w:r w:rsidRPr="00290877">
              <w:t>Предоставления Заемщиком документов, подтверждающих целевое использование заемных денежных средств в течение 45 (Сорока пяти) календарных дней с момента выдачи займа</w:t>
            </w:r>
          </w:p>
        </w:tc>
      </w:tr>
    </w:tbl>
    <w:p w14:paraId="21EA5482" w14:textId="77777777" w:rsidR="00DE6C6A" w:rsidRPr="00F10503" w:rsidRDefault="00DE6C6A" w:rsidP="00DE6C6A">
      <w:pPr>
        <w:spacing w:after="200" w:line="276" w:lineRule="auto"/>
      </w:pPr>
    </w:p>
    <w:p w14:paraId="35B8C91B" w14:textId="77777777" w:rsidR="00DE171C" w:rsidRDefault="00DE171C"/>
    <w:sectPr w:rsidR="00DE17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DBAAB" w14:textId="77777777" w:rsidR="00422E71" w:rsidRDefault="00422E71" w:rsidP="00DE6C6A">
      <w:r>
        <w:separator/>
      </w:r>
    </w:p>
  </w:endnote>
  <w:endnote w:type="continuationSeparator" w:id="0">
    <w:p w14:paraId="1A8B5A2F" w14:textId="77777777" w:rsidR="00422E71" w:rsidRDefault="00422E71" w:rsidP="00DE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7EE66" w14:textId="77777777" w:rsidR="00422E71" w:rsidRDefault="00422E71" w:rsidP="00DE6C6A">
      <w:r>
        <w:separator/>
      </w:r>
    </w:p>
  </w:footnote>
  <w:footnote w:type="continuationSeparator" w:id="0">
    <w:p w14:paraId="42E305BE" w14:textId="77777777" w:rsidR="00422E71" w:rsidRDefault="00422E71" w:rsidP="00DE6C6A">
      <w:r>
        <w:continuationSeparator/>
      </w:r>
    </w:p>
  </w:footnote>
  <w:footnote w:id="1">
    <w:p w14:paraId="56587B19" w14:textId="77777777" w:rsidR="00DE6C6A" w:rsidRDefault="00DE6C6A" w:rsidP="00DE6C6A">
      <w:pPr>
        <w:pStyle w:val="a3"/>
      </w:pPr>
      <w:r>
        <w:rPr>
          <w:rStyle w:val="a5"/>
        </w:rPr>
        <w:footnoteRef/>
      </w:r>
      <w:r>
        <w:t xml:space="preserve"> </w:t>
      </w:r>
      <w:r w:rsidRPr="004979C0">
        <w:t>Базовые требования к предоставляемому имущественному обеспечению изложены в Методике работы с имущественным обеспечением по микрозаймам Общества с ограниченной ответственностью «Микрокредитная компания Костромской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6C16"/>
    <w:multiLevelType w:val="hybridMultilevel"/>
    <w:tmpl w:val="F398B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2E1744"/>
    <w:multiLevelType w:val="hybridMultilevel"/>
    <w:tmpl w:val="B938194A"/>
    <w:lvl w:ilvl="0" w:tplc="FDA0ACA2">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CA03C4"/>
    <w:multiLevelType w:val="hybridMultilevel"/>
    <w:tmpl w:val="2FD2D7A2"/>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C0734D1"/>
    <w:multiLevelType w:val="hybridMultilevel"/>
    <w:tmpl w:val="5798EB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6A"/>
    <w:rsid w:val="0019319C"/>
    <w:rsid w:val="00285FBE"/>
    <w:rsid w:val="00290877"/>
    <w:rsid w:val="00422E71"/>
    <w:rsid w:val="009F6323"/>
    <w:rsid w:val="00A8197C"/>
    <w:rsid w:val="00AA071F"/>
    <w:rsid w:val="00D30C6C"/>
    <w:rsid w:val="00DE171C"/>
    <w:rsid w:val="00DE6C6A"/>
    <w:rsid w:val="00E07D5F"/>
    <w:rsid w:val="00F3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C957"/>
  <w15:chartTrackingRefBased/>
  <w15:docId w15:val="{B9F30D4E-3F63-4307-BAE6-D72B3BF8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C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6C6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next w:val="a"/>
    <w:link w:val="40"/>
    <w:unhideWhenUsed/>
    <w:qFormat/>
    <w:rsid w:val="00DE6C6A"/>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C6A"/>
    <w:rPr>
      <w:rFonts w:asciiTheme="majorHAnsi" w:eastAsiaTheme="majorEastAsia" w:hAnsiTheme="majorHAnsi" w:cstheme="majorBidi"/>
      <w:b/>
      <w:bCs/>
      <w:color w:val="2F5496" w:themeColor="accent1" w:themeShade="BF"/>
      <w:sz w:val="28"/>
      <w:szCs w:val="28"/>
      <w:lang w:eastAsia="ru-RU"/>
    </w:rPr>
  </w:style>
  <w:style w:type="character" w:customStyle="1" w:styleId="40">
    <w:name w:val="Заголовок 4 Знак"/>
    <w:basedOn w:val="a0"/>
    <w:link w:val="4"/>
    <w:rsid w:val="00DE6C6A"/>
    <w:rPr>
      <w:rFonts w:asciiTheme="majorHAnsi" w:eastAsiaTheme="majorEastAsia" w:hAnsiTheme="majorHAnsi" w:cstheme="majorBidi"/>
      <w:b/>
      <w:bCs/>
      <w:i/>
      <w:iCs/>
      <w:color w:val="4472C4" w:themeColor="accent1"/>
      <w:sz w:val="24"/>
      <w:szCs w:val="24"/>
      <w:lang w:eastAsia="ru-RU"/>
    </w:rPr>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11"/>
    <w:uiPriority w:val="99"/>
    <w:rsid w:val="00DE6C6A"/>
    <w:rPr>
      <w:sz w:val="20"/>
      <w:szCs w:val="20"/>
    </w:rPr>
  </w:style>
  <w:style w:type="character" w:customStyle="1" w:styleId="a4">
    <w:name w:val="Текст сноски Знак"/>
    <w:basedOn w:val="a0"/>
    <w:uiPriority w:val="99"/>
    <w:semiHidden/>
    <w:rsid w:val="00DE6C6A"/>
    <w:rPr>
      <w:rFonts w:ascii="Times New Roman" w:eastAsia="Times New Roman" w:hAnsi="Times New Roman" w:cs="Times New Roman"/>
      <w:sz w:val="20"/>
      <w:szCs w:val="20"/>
      <w:lang w:eastAsia="ru-RU"/>
    </w:rPr>
  </w:style>
  <w:style w:type="character" w:customStyle="1" w:styleId="1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3"/>
    <w:uiPriority w:val="99"/>
    <w:locked/>
    <w:rsid w:val="00DE6C6A"/>
    <w:rPr>
      <w:rFonts w:ascii="Times New Roman" w:eastAsia="Times New Roman" w:hAnsi="Times New Roman" w:cs="Times New Roman"/>
      <w:sz w:val="20"/>
      <w:szCs w:val="20"/>
      <w:lang w:eastAsia="ru-RU"/>
    </w:rPr>
  </w:style>
  <w:style w:type="character" w:styleId="a5">
    <w:name w:val="footnote reference"/>
    <w:uiPriority w:val="99"/>
    <w:rsid w:val="00DE6C6A"/>
    <w:rPr>
      <w:vertAlign w:val="superscript"/>
    </w:rPr>
  </w:style>
  <w:style w:type="paragraph" w:styleId="a6">
    <w:name w:val="List Paragraph"/>
    <w:aliases w:val="Нумерованый список,List Paragraph1"/>
    <w:basedOn w:val="a"/>
    <w:link w:val="a7"/>
    <w:uiPriority w:val="34"/>
    <w:qFormat/>
    <w:rsid w:val="00DE6C6A"/>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Нумерованый список Знак,List Paragraph1 Знак"/>
    <w:link w:val="a6"/>
    <w:uiPriority w:val="34"/>
    <w:locked/>
    <w:rsid w:val="00DE6C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4C24-F6DD-4DBA-83F8-249654A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Фролова</dc:creator>
  <cp:keywords/>
  <dc:description/>
  <cp:lastModifiedBy>Елена Фролова</cp:lastModifiedBy>
  <cp:revision>5</cp:revision>
  <cp:lastPrinted>2020-04-02T08:50:00Z</cp:lastPrinted>
  <dcterms:created xsi:type="dcterms:W3CDTF">2020-04-02T08:50:00Z</dcterms:created>
  <dcterms:modified xsi:type="dcterms:W3CDTF">2020-04-02T11:08:00Z</dcterms:modified>
</cp:coreProperties>
</file>