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A2" w:rsidRPr="001317E8" w:rsidRDefault="00C263A2" w:rsidP="001317E8">
      <w:pPr>
        <w:jc w:val="center"/>
        <w:rPr>
          <w:b/>
          <w:szCs w:val="28"/>
        </w:rPr>
      </w:pPr>
      <w:r w:rsidRPr="001317E8">
        <w:rPr>
          <w:b/>
          <w:szCs w:val="28"/>
        </w:rPr>
        <w:t xml:space="preserve">ОБЗОР </w:t>
      </w:r>
    </w:p>
    <w:p w:rsidR="00C263A2" w:rsidRPr="001317E8" w:rsidRDefault="0068766C" w:rsidP="001317E8">
      <w:pPr>
        <w:jc w:val="center"/>
        <w:rPr>
          <w:b/>
          <w:szCs w:val="28"/>
        </w:rPr>
      </w:pPr>
      <w:r>
        <w:rPr>
          <w:b/>
          <w:szCs w:val="28"/>
        </w:rPr>
        <w:t xml:space="preserve">правоприменительной </w:t>
      </w:r>
      <w:r w:rsidR="00532709">
        <w:rPr>
          <w:b/>
          <w:szCs w:val="28"/>
        </w:rPr>
        <w:t>п</w:t>
      </w:r>
      <w:r w:rsidR="00C263A2" w:rsidRPr="001317E8">
        <w:rPr>
          <w:b/>
          <w:szCs w:val="28"/>
        </w:rPr>
        <w:t>рактики</w:t>
      </w:r>
      <w:r w:rsidR="00532709">
        <w:rPr>
          <w:b/>
          <w:szCs w:val="28"/>
        </w:rPr>
        <w:t xml:space="preserve"> осуществления</w:t>
      </w:r>
      <w:r w:rsidR="00D96D42" w:rsidRPr="001317E8">
        <w:rPr>
          <w:b/>
          <w:szCs w:val="28"/>
        </w:rPr>
        <w:t xml:space="preserve"> контрольно-надзорной деятельности </w:t>
      </w:r>
      <w:r>
        <w:rPr>
          <w:b/>
          <w:szCs w:val="28"/>
        </w:rPr>
        <w:t xml:space="preserve">департамента экономического развития Костромской области </w:t>
      </w:r>
      <w:r w:rsidR="005E780C">
        <w:rPr>
          <w:b/>
          <w:szCs w:val="28"/>
        </w:rPr>
        <w:t>в 20</w:t>
      </w:r>
      <w:r w:rsidR="00692B53">
        <w:rPr>
          <w:b/>
          <w:szCs w:val="28"/>
        </w:rPr>
        <w:t>20</w:t>
      </w:r>
      <w:r w:rsidR="005E780C">
        <w:rPr>
          <w:b/>
          <w:szCs w:val="28"/>
        </w:rPr>
        <w:t>г</w:t>
      </w:r>
      <w:r>
        <w:rPr>
          <w:b/>
          <w:szCs w:val="28"/>
        </w:rPr>
        <w:t>оду</w:t>
      </w:r>
    </w:p>
    <w:p w:rsidR="00C263A2" w:rsidRPr="001317E8" w:rsidRDefault="00C263A2" w:rsidP="001317E8">
      <w:pPr>
        <w:rPr>
          <w:szCs w:val="28"/>
        </w:rPr>
      </w:pPr>
    </w:p>
    <w:p w:rsidR="00BA1F25" w:rsidRDefault="00187A2C" w:rsidP="002A4878">
      <w:pPr>
        <w:jc w:val="both"/>
        <w:rPr>
          <w:szCs w:val="28"/>
        </w:rPr>
      </w:pPr>
      <w:r w:rsidRPr="001317E8">
        <w:rPr>
          <w:szCs w:val="28"/>
        </w:rPr>
        <w:t xml:space="preserve">Настоящий </w:t>
      </w:r>
      <w:r w:rsidR="0068766C">
        <w:rPr>
          <w:szCs w:val="28"/>
        </w:rPr>
        <w:t>о</w:t>
      </w:r>
      <w:r w:rsidR="0068766C" w:rsidRPr="001317E8">
        <w:rPr>
          <w:szCs w:val="28"/>
        </w:rPr>
        <w:t xml:space="preserve">бзор </w:t>
      </w:r>
      <w:r w:rsidR="0068766C" w:rsidRPr="0068766C">
        <w:rPr>
          <w:szCs w:val="28"/>
        </w:rPr>
        <w:t>правоприменительной</w:t>
      </w:r>
      <w:r w:rsidR="0068766C">
        <w:rPr>
          <w:b/>
          <w:szCs w:val="28"/>
        </w:rPr>
        <w:t xml:space="preserve"> </w:t>
      </w:r>
      <w:r w:rsidRPr="001317E8">
        <w:rPr>
          <w:szCs w:val="28"/>
        </w:rPr>
        <w:t xml:space="preserve">практики </w:t>
      </w:r>
      <w:r w:rsidR="00532709">
        <w:rPr>
          <w:szCs w:val="28"/>
        </w:rPr>
        <w:t xml:space="preserve">осуществления </w:t>
      </w:r>
      <w:r w:rsidRPr="001317E8">
        <w:rPr>
          <w:szCs w:val="28"/>
        </w:rPr>
        <w:t xml:space="preserve">контрольно-надзорной деятельности </w:t>
      </w:r>
      <w:r w:rsidR="0068766C" w:rsidRPr="0068766C">
        <w:rPr>
          <w:szCs w:val="28"/>
        </w:rPr>
        <w:t>департамента экономического развития Костромской области в 2019 году</w:t>
      </w:r>
      <w:r w:rsidR="00856069" w:rsidRPr="0068766C">
        <w:rPr>
          <w:szCs w:val="28"/>
        </w:rPr>
        <w:t xml:space="preserve"> </w:t>
      </w:r>
      <w:r w:rsidRPr="0068766C">
        <w:rPr>
          <w:szCs w:val="28"/>
        </w:rPr>
        <w:t>(д</w:t>
      </w:r>
      <w:r w:rsidRPr="001317E8">
        <w:rPr>
          <w:szCs w:val="28"/>
        </w:rPr>
        <w:t xml:space="preserve">алее - Обзор) подготовлен </w:t>
      </w:r>
      <w:r w:rsidR="00BA1F25">
        <w:rPr>
          <w:szCs w:val="28"/>
        </w:rPr>
        <w:t>в соответствии с требованиями</w:t>
      </w:r>
      <w:r w:rsidRPr="001317E8">
        <w:rPr>
          <w:szCs w:val="28"/>
        </w:rPr>
        <w:t xml:space="preserve"> стать</w:t>
      </w:r>
      <w:r w:rsidR="00EF5CE7" w:rsidRPr="001317E8">
        <w:rPr>
          <w:szCs w:val="28"/>
        </w:rPr>
        <w:t>и 8.2 Федерального закона от 26.12.</w:t>
      </w:r>
      <w:r w:rsidRPr="001317E8">
        <w:rPr>
          <w:szCs w:val="28"/>
        </w:rPr>
        <w:t>2008 № 29</w:t>
      </w:r>
      <w:bookmarkStart w:id="0" w:name="_GoBack"/>
      <w:bookmarkEnd w:id="0"/>
      <w:r w:rsidRPr="001317E8">
        <w:rPr>
          <w:szCs w:val="28"/>
        </w:rPr>
        <w:t xml:space="preserve">4-ФЗ </w:t>
      </w:r>
      <w:r w:rsidR="0068766C">
        <w:rPr>
          <w:szCs w:val="28"/>
        </w:rPr>
        <w:t>«</w:t>
      </w:r>
      <w:r w:rsidRPr="001317E8">
        <w:rPr>
          <w:szCs w:val="28"/>
        </w:rPr>
        <w:t>О</w:t>
      </w:r>
      <w:r w:rsidR="0068766C">
        <w:rPr>
          <w:szCs w:val="28"/>
        </w:rPr>
        <w:t> </w:t>
      </w:r>
      <w:r w:rsidRPr="001317E8">
        <w:rPr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8766C">
        <w:rPr>
          <w:szCs w:val="28"/>
        </w:rPr>
        <w:t>»</w:t>
      </w:r>
      <w:r w:rsidRPr="001317E8">
        <w:rPr>
          <w:szCs w:val="28"/>
        </w:rPr>
        <w:t xml:space="preserve"> (далее </w:t>
      </w:r>
      <w:r w:rsidR="005F0861" w:rsidRPr="001317E8">
        <w:rPr>
          <w:szCs w:val="28"/>
        </w:rPr>
        <w:t>–</w:t>
      </w:r>
      <w:r w:rsidRPr="001317E8">
        <w:rPr>
          <w:szCs w:val="28"/>
        </w:rPr>
        <w:t xml:space="preserve"> </w:t>
      </w:r>
      <w:r w:rsidR="005F0861" w:rsidRPr="001317E8">
        <w:rPr>
          <w:szCs w:val="28"/>
        </w:rPr>
        <w:t>Федеральный з</w:t>
      </w:r>
      <w:r w:rsidRPr="001317E8">
        <w:rPr>
          <w:szCs w:val="28"/>
        </w:rPr>
        <w:t>акон №</w:t>
      </w:r>
      <w:r w:rsidR="005F0861" w:rsidRPr="001317E8">
        <w:rPr>
          <w:szCs w:val="28"/>
        </w:rPr>
        <w:t> </w:t>
      </w:r>
      <w:r w:rsidRPr="001317E8">
        <w:rPr>
          <w:szCs w:val="28"/>
        </w:rPr>
        <w:t>294-ФЗ)</w:t>
      </w:r>
      <w:r w:rsidR="00BA1F25">
        <w:rPr>
          <w:szCs w:val="28"/>
        </w:rPr>
        <w:t>. Целями и задачами обобщения и анализа правоприменительной практики является обеспечение доступности сведений о правоприменительной практике департамента, выявление и снижение типичных нарушений обязательных требований за свет обеспечения информированности подконтрольных субъектов о практике применения обязательных требований, выявление проблемных вопросов применения подконтрольными субъектами обязательных требований.</w:t>
      </w:r>
    </w:p>
    <w:p w:rsidR="003B5140" w:rsidRPr="001317E8" w:rsidRDefault="003B5140" w:rsidP="001317E8">
      <w:pPr>
        <w:jc w:val="both"/>
        <w:rPr>
          <w:szCs w:val="28"/>
        </w:rPr>
      </w:pPr>
    </w:p>
    <w:p w:rsidR="00187A2C" w:rsidRPr="001317E8" w:rsidRDefault="00187A2C" w:rsidP="001317E8">
      <w:pPr>
        <w:jc w:val="center"/>
        <w:rPr>
          <w:b/>
          <w:szCs w:val="28"/>
        </w:rPr>
      </w:pPr>
      <w:r w:rsidRPr="001317E8">
        <w:rPr>
          <w:b/>
          <w:szCs w:val="28"/>
        </w:rPr>
        <w:t>Общие положения</w:t>
      </w:r>
    </w:p>
    <w:p w:rsidR="002A4878" w:rsidRDefault="002A4878" w:rsidP="002A4878">
      <w:pPr>
        <w:jc w:val="both"/>
        <w:rPr>
          <w:szCs w:val="28"/>
        </w:rPr>
      </w:pPr>
      <w:r>
        <w:rPr>
          <w:szCs w:val="28"/>
        </w:rPr>
        <w:t>Департамент экономического развития Костромской области является исполнительным органом государственной власти Костромской области, осуществляющим на территории Костромской области региональный государственный контроль (надзор) в области розничной продажи алкогольной и спиртосодержащей продукции, включающий в себя:</w:t>
      </w:r>
    </w:p>
    <w:p w:rsidR="002A4878" w:rsidRDefault="002A4878" w:rsidP="002A4878">
      <w:pPr>
        <w:jc w:val="both"/>
        <w:rPr>
          <w:szCs w:val="28"/>
        </w:rPr>
      </w:pPr>
      <w:r>
        <w:rPr>
          <w:szCs w:val="28"/>
        </w:rPr>
        <w:t xml:space="preserve">1) лицензионный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2A4878" w:rsidRDefault="002A4878" w:rsidP="002A4878">
      <w:pPr>
        <w:jc w:val="both"/>
        <w:rPr>
          <w:szCs w:val="28"/>
        </w:rPr>
      </w:pPr>
      <w:r>
        <w:rPr>
          <w:szCs w:val="28"/>
        </w:rPr>
        <w:t xml:space="preserve"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8" w:history="1">
        <w:r w:rsidRPr="00E53F4F">
          <w:rPr>
            <w:szCs w:val="28"/>
          </w:rPr>
          <w:t>статьей 16</w:t>
        </w:r>
      </w:hyperlink>
      <w:r>
        <w:rPr>
          <w:szCs w:val="28"/>
        </w:rPr>
        <w:t xml:space="preserve"> Федерального закона № 171-ФЗ, обязательных требований к розничной продаже спиртосодержащей продукции, за исключением государственного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требований технических регламентов;</w:t>
      </w:r>
    </w:p>
    <w:p w:rsidR="002A4878" w:rsidRDefault="002A4878" w:rsidP="002A4878">
      <w:pPr>
        <w:jc w:val="both"/>
        <w:rPr>
          <w:szCs w:val="28"/>
        </w:rPr>
      </w:pPr>
      <w:r>
        <w:rPr>
          <w:szCs w:val="28"/>
        </w:rPr>
        <w:t xml:space="preserve">3) государственный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представлением деклараций об объеме розничной продажи алкогольной и спиртосодержащей продукции.</w:t>
      </w:r>
    </w:p>
    <w:p w:rsidR="00187A2C" w:rsidRDefault="002A4878" w:rsidP="00126534">
      <w:pPr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региональный государственный контроль (надзор) в области розничной продажи алкогольной и спиртосодержащей продукции (далее – региональный государственный  контроль) осуществляется в соответствии с положениями Федерального закона от </w:t>
      </w:r>
      <w:r w:rsidRPr="002A4878">
        <w:rPr>
          <w:szCs w:val="28"/>
        </w:rPr>
        <w:t xml:space="preserve">22.11.1995 № 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szCs w:val="28"/>
        </w:rPr>
        <w:t xml:space="preserve">Федерального закона </w:t>
      </w:r>
      <w:r w:rsidRPr="001317E8">
        <w:rPr>
          <w:szCs w:val="28"/>
        </w:rPr>
        <w:t>№ 294-ФЗ</w:t>
      </w:r>
      <w:r>
        <w:rPr>
          <w:szCs w:val="28"/>
        </w:rPr>
        <w:t xml:space="preserve">, </w:t>
      </w:r>
      <w:r w:rsidRPr="000E28EC">
        <w:rPr>
          <w:szCs w:val="28"/>
        </w:rPr>
        <w:t>Закон</w:t>
      </w:r>
      <w:r>
        <w:rPr>
          <w:szCs w:val="28"/>
        </w:rPr>
        <w:t xml:space="preserve">а </w:t>
      </w:r>
      <w:r w:rsidRPr="000E28EC">
        <w:rPr>
          <w:szCs w:val="28"/>
        </w:rPr>
        <w:t xml:space="preserve">Костромской области от </w:t>
      </w:r>
      <w:r>
        <w:rPr>
          <w:szCs w:val="28"/>
        </w:rPr>
        <w:t>29.12.2010</w:t>
      </w:r>
      <w:r w:rsidRPr="000E28EC">
        <w:rPr>
          <w:szCs w:val="28"/>
        </w:rPr>
        <w:t xml:space="preserve"> № 22-5-ЗКО «О регулировании розничной продажи алкогольной продукции</w:t>
      </w:r>
      <w:proofErr w:type="gramEnd"/>
      <w:r w:rsidRPr="000E28EC">
        <w:rPr>
          <w:szCs w:val="28"/>
        </w:rPr>
        <w:t xml:space="preserve"> </w:t>
      </w:r>
      <w:proofErr w:type="gramStart"/>
      <w:r w:rsidRPr="000E28EC">
        <w:rPr>
          <w:szCs w:val="28"/>
        </w:rPr>
        <w:t xml:space="preserve">на </w:t>
      </w:r>
      <w:r>
        <w:rPr>
          <w:szCs w:val="28"/>
        </w:rPr>
        <w:t xml:space="preserve">территории Костромской области», </w:t>
      </w:r>
      <w:hyperlink r:id="rId9" w:history="1">
        <w:r w:rsidRPr="002A4878">
          <w:rPr>
            <w:szCs w:val="28"/>
          </w:rPr>
          <w:t>постановления</w:t>
        </w:r>
      </w:hyperlink>
      <w:r w:rsidRPr="002A4878">
        <w:rPr>
          <w:szCs w:val="28"/>
        </w:rPr>
        <w:t xml:space="preserve"> губернатора Костромской области от 22.06.2017 № 137 «О департаменте экономического развития Костромской области», административного регламента </w:t>
      </w:r>
      <w:r>
        <w:rPr>
          <w:szCs w:val="28"/>
        </w:rPr>
        <w:t xml:space="preserve">предоставления </w:t>
      </w:r>
      <w:r w:rsidRPr="007C409B">
        <w:rPr>
          <w:szCs w:val="28"/>
        </w:rPr>
        <w:t>департаментом экономического развития Костромской области государственной услуги по выдаче лицензий на розничную продажу алкогольной продукции</w:t>
      </w:r>
      <w:r>
        <w:rPr>
          <w:szCs w:val="28"/>
        </w:rPr>
        <w:t xml:space="preserve"> (за исключением лицензий на розничную продажу вина, игристого вина (шампанского), осуществляемую сельскохозяйственными товаропроизводителями) </w:t>
      </w:r>
      <w:r w:rsidRPr="007C409B">
        <w:rPr>
          <w:szCs w:val="28"/>
        </w:rPr>
        <w:t>на территории Костромской области</w:t>
      </w:r>
      <w:r>
        <w:rPr>
          <w:szCs w:val="28"/>
        </w:rPr>
        <w:t>, утвержденного приказом департамента экономического развития Костромской области от</w:t>
      </w:r>
      <w:proofErr w:type="gramEnd"/>
      <w:r>
        <w:rPr>
          <w:szCs w:val="28"/>
        </w:rPr>
        <w:t xml:space="preserve"> 30.06.2016 № 5, </w:t>
      </w:r>
      <w:r w:rsidRPr="002A4878">
        <w:rPr>
          <w:rFonts w:eastAsia="Calibri"/>
          <w:szCs w:val="28"/>
        </w:rPr>
        <w:t>административн</w:t>
      </w:r>
      <w:r w:rsidRPr="002A4878">
        <w:rPr>
          <w:szCs w:val="28"/>
        </w:rPr>
        <w:t>ого</w:t>
      </w:r>
      <w:r w:rsidRPr="002A4878">
        <w:rPr>
          <w:rFonts w:eastAsia="Calibri"/>
          <w:szCs w:val="28"/>
        </w:rPr>
        <w:t xml:space="preserve"> регламент</w:t>
      </w:r>
      <w:r w:rsidRPr="002A4878">
        <w:rPr>
          <w:szCs w:val="28"/>
        </w:rPr>
        <w:t>а</w:t>
      </w:r>
      <w:r w:rsidRPr="002A4878">
        <w:rPr>
          <w:rFonts w:eastAsia="Calibri"/>
          <w:szCs w:val="28"/>
        </w:rPr>
        <w:t xml:space="preserve"> по исполнению государственной функции по проведению проверок при осуществлении государственного </w:t>
      </w:r>
      <w:proofErr w:type="gramStart"/>
      <w:r w:rsidRPr="002A4878">
        <w:rPr>
          <w:rFonts w:eastAsia="Calibri"/>
          <w:szCs w:val="28"/>
        </w:rPr>
        <w:t>контроля за</w:t>
      </w:r>
      <w:proofErr w:type="gramEnd"/>
      <w:r w:rsidRPr="002A4878">
        <w:rPr>
          <w:rFonts w:eastAsia="Calibri"/>
          <w:szCs w:val="28"/>
        </w:rPr>
        <w:t xml:space="preserve"> соблюдением лицензионных требований и условий розничной продажи алкогольной продукции на территории Костромской области», утвержденн</w:t>
      </w:r>
      <w:r w:rsidRPr="002A4878">
        <w:rPr>
          <w:szCs w:val="28"/>
        </w:rPr>
        <w:t>ого</w:t>
      </w:r>
      <w:r w:rsidRPr="002A4878">
        <w:rPr>
          <w:rFonts w:eastAsia="Calibri"/>
          <w:szCs w:val="28"/>
        </w:rPr>
        <w:t xml:space="preserve"> приказом департамента экономического развития Костромской области от 01.08.2012 № 11</w:t>
      </w:r>
      <w:r>
        <w:rPr>
          <w:szCs w:val="28"/>
        </w:rPr>
        <w:t>.</w:t>
      </w:r>
    </w:p>
    <w:p w:rsidR="00126534" w:rsidRDefault="00126534" w:rsidP="00126534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</w:t>
      </w:r>
      <w:r w:rsidRPr="006F1380">
        <w:rPr>
          <w:bCs/>
          <w:szCs w:val="28"/>
        </w:rPr>
        <w:t>регионально</w:t>
      </w:r>
      <w:r>
        <w:rPr>
          <w:bCs/>
          <w:szCs w:val="28"/>
        </w:rPr>
        <w:t>му</w:t>
      </w:r>
      <w:r w:rsidRPr="006F1380">
        <w:rPr>
          <w:bCs/>
          <w:szCs w:val="28"/>
        </w:rPr>
        <w:t xml:space="preserve"> государственно</w:t>
      </w:r>
      <w:r>
        <w:rPr>
          <w:bCs/>
          <w:szCs w:val="28"/>
        </w:rPr>
        <w:t>му</w:t>
      </w:r>
      <w:r w:rsidRPr="006F1380">
        <w:rPr>
          <w:bCs/>
          <w:szCs w:val="28"/>
        </w:rPr>
        <w:t xml:space="preserve"> контрол</w:t>
      </w:r>
      <w:r>
        <w:rPr>
          <w:bCs/>
          <w:szCs w:val="28"/>
        </w:rPr>
        <w:t>ю</w:t>
      </w:r>
      <w:r w:rsidRPr="006F1380">
        <w:rPr>
          <w:bCs/>
          <w:szCs w:val="28"/>
        </w:rPr>
        <w:t xml:space="preserve"> (надзор</w:t>
      </w:r>
      <w:r>
        <w:rPr>
          <w:bCs/>
          <w:szCs w:val="28"/>
        </w:rPr>
        <w:t>у</w:t>
      </w:r>
      <w:r w:rsidRPr="006F1380">
        <w:rPr>
          <w:bCs/>
          <w:szCs w:val="28"/>
        </w:rPr>
        <w:t>) в области розничной продажи алкогольной и спиртосодержащей продукции на территории Костромской области</w:t>
      </w:r>
      <w:r>
        <w:rPr>
          <w:bCs/>
          <w:szCs w:val="28"/>
        </w:rPr>
        <w:t xml:space="preserve">, утвержден приказом департамента от 25.09.2017 № 79. Указанный приказ размещен на официальном сайте департамента в информационно-коммуникационной сети «Интернет» на главной странице в разделе «Нормативно-правовая база - Перечни правовых актов и их отдельных частей…» по адресу </w:t>
      </w:r>
      <w:hyperlink r:id="rId10" w:history="1">
        <w:r w:rsidRPr="00DA3A48">
          <w:rPr>
            <w:bCs/>
            <w:szCs w:val="28"/>
          </w:rPr>
          <w:t>www.dep–economy44.ru</w:t>
        </w:r>
      </w:hyperlink>
      <w:r>
        <w:rPr>
          <w:bCs/>
          <w:szCs w:val="28"/>
        </w:rPr>
        <w:t>.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t xml:space="preserve">Предметом </w:t>
      </w:r>
      <w:r>
        <w:rPr>
          <w:szCs w:val="28"/>
        </w:rPr>
        <w:t xml:space="preserve">регионального </w:t>
      </w:r>
      <w:r w:rsidRPr="009C0A6A">
        <w:rPr>
          <w:szCs w:val="28"/>
        </w:rPr>
        <w:t>государственного контроля (надзора)</w:t>
      </w:r>
      <w:r>
        <w:rPr>
          <w:szCs w:val="28"/>
        </w:rPr>
        <w:t xml:space="preserve"> является: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t>1</w:t>
      </w:r>
      <w:r w:rsidRPr="004360A4">
        <w:rPr>
          <w:szCs w:val="28"/>
        </w:rPr>
        <w:t>)</w:t>
      </w:r>
      <w:r w:rsidRPr="003740A7">
        <w:rPr>
          <w:szCs w:val="28"/>
        </w:rPr>
        <w:t xml:space="preserve"> проверка исполнения лицензиатами при осуществлении розничной продажи алкогольной продукции и розничной продажи алкогольной продукции при оказании услуг общественного питания установленных нормативными правовыми актами, регулирующими розничную продажу алкогольной продукции, следующих требований (далее </w:t>
      </w:r>
      <w:r>
        <w:rPr>
          <w:szCs w:val="28"/>
        </w:rPr>
        <w:t>–</w:t>
      </w:r>
      <w:r w:rsidRPr="003740A7">
        <w:rPr>
          <w:szCs w:val="28"/>
        </w:rPr>
        <w:t xml:space="preserve"> </w:t>
      </w:r>
      <w:r>
        <w:rPr>
          <w:szCs w:val="28"/>
        </w:rPr>
        <w:t>обязательные (</w:t>
      </w:r>
      <w:r w:rsidRPr="003740A7">
        <w:rPr>
          <w:szCs w:val="28"/>
        </w:rPr>
        <w:t>лицензионные</w:t>
      </w:r>
      <w:r>
        <w:rPr>
          <w:szCs w:val="28"/>
        </w:rPr>
        <w:t>)</w:t>
      </w:r>
      <w:r w:rsidRPr="003740A7">
        <w:rPr>
          <w:szCs w:val="28"/>
        </w:rPr>
        <w:t xml:space="preserve"> требования):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lastRenderedPageBreak/>
        <w:t xml:space="preserve">соблюдение лицензиатом требований </w:t>
      </w:r>
      <w:hyperlink r:id="rId11" w:history="1">
        <w:r w:rsidRPr="003740A7">
          <w:rPr>
            <w:szCs w:val="28"/>
          </w:rPr>
          <w:t>статьи 26</w:t>
        </w:r>
      </w:hyperlink>
      <w:r w:rsidRPr="003740A7">
        <w:rPr>
          <w:szCs w:val="28"/>
        </w:rPr>
        <w:t xml:space="preserve"> Федерального закона </w:t>
      </w:r>
      <w:r>
        <w:rPr>
          <w:szCs w:val="28"/>
        </w:rPr>
        <w:t xml:space="preserve">от 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</w:t>
      </w:r>
      <w:r w:rsidRPr="003740A7">
        <w:rPr>
          <w:szCs w:val="28"/>
        </w:rPr>
        <w:t>Федеральн</w:t>
      </w:r>
      <w:r>
        <w:rPr>
          <w:szCs w:val="28"/>
        </w:rPr>
        <w:t>ый</w:t>
      </w:r>
      <w:r w:rsidRPr="003740A7">
        <w:rPr>
          <w:szCs w:val="28"/>
        </w:rPr>
        <w:t xml:space="preserve"> закон</w:t>
      </w:r>
      <w:r>
        <w:rPr>
          <w:szCs w:val="28"/>
        </w:rPr>
        <w:t xml:space="preserve"> № 17</w:t>
      </w:r>
      <w:r w:rsidR="002F14C0">
        <w:rPr>
          <w:szCs w:val="28"/>
        </w:rPr>
        <w:t>1</w:t>
      </w:r>
      <w:r>
        <w:rPr>
          <w:szCs w:val="28"/>
        </w:rPr>
        <w:t>-ФЗ)</w:t>
      </w:r>
      <w:r w:rsidRPr="003740A7">
        <w:rPr>
          <w:szCs w:val="28"/>
        </w:rPr>
        <w:t>;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t>соблюдение лицензиатом требования об оснащении оборудования техническими средствами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систему;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t>выполнение лицензиатом ранее выданных предписаний об устранении выявленного нарушения лицензионных требований;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t>выполнение решения лицензирующего органа о пр</w:t>
      </w:r>
      <w:r>
        <w:rPr>
          <w:szCs w:val="28"/>
        </w:rPr>
        <w:t>иостановлении действия лицензии;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t>2</w:t>
      </w:r>
      <w:r>
        <w:rPr>
          <w:szCs w:val="28"/>
        </w:rPr>
        <w:t>)</w:t>
      </w:r>
      <w:r w:rsidRPr="003740A7">
        <w:rPr>
          <w:szCs w:val="28"/>
        </w:rPr>
        <w:t xml:space="preserve"> проверка исполнения субъектами, осуществляющими розничную продажу алкогольной продукции,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2" w:history="1">
        <w:r w:rsidRPr="003740A7">
          <w:rPr>
            <w:szCs w:val="28"/>
          </w:rPr>
          <w:t>статьей 16</w:t>
        </w:r>
      </w:hyperlink>
      <w:r w:rsidRPr="003740A7">
        <w:rPr>
          <w:szCs w:val="28"/>
        </w:rPr>
        <w:t xml:space="preserve"> Федерального закона </w:t>
      </w:r>
      <w:r>
        <w:rPr>
          <w:szCs w:val="28"/>
        </w:rPr>
        <w:t>№ 171-ФЗ;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t>3</w:t>
      </w:r>
      <w:r>
        <w:rPr>
          <w:szCs w:val="28"/>
        </w:rPr>
        <w:t>)</w:t>
      </w:r>
      <w:r w:rsidRPr="003740A7">
        <w:rPr>
          <w:szCs w:val="28"/>
        </w:rPr>
        <w:t xml:space="preserve"> проверка исполнения субъектами, осуществляющими розничную продажу спиртосодержащей продукции, установленных нормативными правовыми актами обязательных требований к розничной про</w:t>
      </w:r>
      <w:r>
        <w:rPr>
          <w:szCs w:val="28"/>
        </w:rPr>
        <w:t>даже спиртосодержащей продукции;</w:t>
      </w:r>
    </w:p>
    <w:p w:rsidR="00126534" w:rsidRPr="003740A7" w:rsidRDefault="00126534" w:rsidP="00126534">
      <w:pPr>
        <w:autoSpaceDE w:val="0"/>
        <w:autoSpaceDN w:val="0"/>
        <w:adjustRightInd w:val="0"/>
        <w:jc w:val="both"/>
        <w:rPr>
          <w:szCs w:val="28"/>
        </w:rPr>
      </w:pPr>
      <w:r w:rsidRPr="003740A7">
        <w:rPr>
          <w:szCs w:val="28"/>
        </w:rPr>
        <w:t>4</w:t>
      </w:r>
      <w:r>
        <w:rPr>
          <w:szCs w:val="28"/>
        </w:rPr>
        <w:t>)</w:t>
      </w:r>
      <w:r w:rsidRPr="003740A7">
        <w:rPr>
          <w:szCs w:val="28"/>
        </w:rPr>
        <w:t xml:space="preserve"> проверка соблюдени</w:t>
      </w:r>
      <w:r>
        <w:rPr>
          <w:szCs w:val="28"/>
        </w:rPr>
        <w:t>я</w:t>
      </w:r>
      <w:r w:rsidRPr="003740A7">
        <w:rPr>
          <w:szCs w:val="28"/>
        </w:rPr>
        <w:t xml:space="preserve"> </w:t>
      </w:r>
      <w:r>
        <w:rPr>
          <w:szCs w:val="28"/>
        </w:rPr>
        <w:t xml:space="preserve">подконтрольными </w:t>
      </w:r>
      <w:r w:rsidRPr="003740A7">
        <w:rPr>
          <w:szCs w:val="28"/>
        </w:rPr>
        <w:t xml:space="preserve">субъектами достоверности, порядка и сроков при представлении деклараций об объеме розничной продажи алкогольной (за исключением пива и пивных напитков, сидра, </w:t>
      </w:r>
      <w:proofErr w:type="spellStart"/>
      <w:r w:rsidRPr="003740A7">
        <w:rPr>
          <w:szCs w:val="28"/>
        </w:rPr>
        <w:t>пуаре</w:t>
      </w:r>
      <w:proofErr w:type="spellEnd"/>
      <w:r w:rsidRPr="003740A7">
        <w:rPr>
          <w:szCs w:val="28"/>
        </w:rPr>
        <w:t xml:space="preserve"> и медовухи) и спиртосодержащей продукции и об объеме розничной продажи пива и пивных напитков, сидра, </w:t>
      </w:r>
      <w:proofErr w:type="spellStart"/>
      <w:r w:rsidRPr="003740A7">
        <w:rPr>
          <w:szCs w:val="28"/>
        </w:rPr>
        <w:t>пуаре</w:t>
      </w:r>
      <w:proofErr w:type="spellEnd"/>
      <w:r w:rsidRPr="003740A7">
        <w:rPr>
          <w:szCs w:val="28"/>
        </w:rPr>
        <w:t xml:space="preserve"> и медовухи (далее - декларации).</w:t>
      </w:r>
    </w:p>
    <w:p w:rsidR="002F14C0" w:rsidRPr="002F14C0" w:rsidRDefault="002F14C0" w:rsidP="002F14C0">
      <w:pPr>
        <w:autoSpaceDE w:val="0"/>
        <w:autoSpaceDN w:val="0"/>
        <w:adjustRightInd w:val="0"/>
        <w:jc w:val="both"/>
        <w:rPr>
          <w:szCs w:val="28"/>
        </w:rPr>
      </w:pPr>
      <w:r w:rsidRPr="002F14C0">
        <w:rPr>
          <w:szCs w:val="28"/>
        </w:rPr>
        <w:t xml:space="preserve">Мероприятия проводятся в форме внеплановых документарных и выездных проверок (в том числе по заявлениям соискателей лицензий), а также в форме мониторинга сведений, содержащихся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 без взаимодействия </w:t>
      </w:r>
      <w:r>
        <w:rPr>
          <w:szCs w:val="28"/>
        </w:rPr>
        <w:t>с</w:t>
      </w:r>
      <w:r w:rsidRPr="002F14C0">
        <w:rPr>
          <w:szCs w:val="28"/>
        </w:rPr>
        <w:t xml:space="preserve"> юридическими лицами и индивидуальными предпринимателями.</w:t>
      </w:r>
    </w:p>
    <w:p w:rsidR="00BA1F25" w:rsidRDefault="002F14C0" w:rsidP="002F14C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Плановые проверки в отношении подконтрольных субъектов не проводятся в силу статьи 23.2 Федерального закона № 171-ФЗ.</w:t>
      </w:r>
    </w:p>
    <w:p w:rsidR="00BA1F25" w:rsidRDefault="00BA1F25" w:rsidP="001317E8">
      <w:pPr>
        <w:rPr>
          <w:szCs w:val="28"/>
        </w:rPr>
      </w:pPr>
    </w:p>
    <w:p w:rsidR="00605B16" w:rsidRPr="00605B16" w:rsidRDefault="00605B16" w:rsidP="00605B1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 xml:space="preserve">В связи с принятием в 2020 году </w:t>
      </w:r>
      <w:r w:rsidRPr="00605B16">
        <w:rPr>
          <w:szCs w:val="28"/>
        </w:rPr>
        <w:t xml:space="preserve">постановления Правительства Российской Федерации от 03.04.2020 № 438 «Об особенностях осуществления в </w:t>
      </w:r>
      <w:r w:rsidRPr="00605B16">
        <w:rPr>
          <w:szCs w:val="28"/>
        </w:rPr>
        <w:lastRenderedPageBreak/>
        <w:t>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szCs w:val="28"/>
        </w:rPr>
        <w:t>, а также в связи с отсутствием обращений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наличии</w:t>
      </w:r>
      <w:proofErr w:type="gramEnd"/>
      <w:r>
        <w:rPr>
          <w:szCs w:val="28"/>
        </w:rPr>
        <w:t xml:space="preserve"> нарушений требований к обороту алкогольной продукции внеплановые проверки не проводились</w:t>
      </w:r>
    </w:p>
    <w:p w:rsidR="00E11860" w:rsidRDefault="00605B16" w:rsidP="003025A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 то же время при </w:t>
      </w:r>
      <w:r w:rsidR="007E4BAA">
        <w:rPr>
          <w:szCs w:val="28"/>
        </w:rPr>
        <w:t>осуществлении контрольно-надзорных полномочий в</w:t>
      </w:r>
      <w:r w:rsidR="00931C04" w:rsidRPr="001317E8">
        <w:rPr>
          <w:szCs w:val="28"/>
        </w:rPr>
        <w:t xml:space="preserve"> 20</w:t>
      </w:r>
      <w:r>
        <w:rPr>
          <w:szCs w:val="28"/>
        </w:rPr>
        <w:t>20</w:t>
      </w:r>
      <w:r w:rsidR="00931C04" w:rsidRPr="001317E8">
        <w:rPr>
          <w:szCs w:val="28"/>
        </w:rPr>
        <w:t xml:space="preserve"> год</w:t>
      </w:r>
      <w:r w:rsidR="007E4BAA">
        <w:rPr>
          <w:szCs w:val="28"/>
        </w:rPr>
        <w:t>у</w:t>
      </w:r>
      <w:r w:rsidR="00931C04" w:rsidRPr="001317E8">
        <w:rPr>
          <w:szCs w:val="28"/>
        </w:rPr>
        <w:t xml:space="preserve"> </w:t>
      </w:r>
      <w:r w:rsidR="00A86D17">
        <w:rPr>
          <w:szCs w:val="28"/>
        </w:rPr>
        <w:t>департаментом</w:t>
      </w:r>
      <w:r w:rsidR="00931C04" w:rsidRPr="001317E8">
        <w:rPr>
          <w:szCs w:val="28"/>
        </w:rPr>
        <w:t xml:space="preserve"> проведен</w:t>
      </w:r>
      <w:r>
        <w:rPr>
          <w:szCs w:val="28"/>
        </w:rPr>
        <w:t>о</w:t>
      </w:r>
      <w:r w:rsidR="003025AB">
        <w:rPr>
          <w:szCs w:val="28"/>
        </w:rPr>
        <w:t> </w:t>
      </w:r>
      <w:r w:rsidR="00A86D17">
        <w:rPr>
          <w:szCs w:val="28"/>
        </w:rPr>
        <w:t xml:space="preserve">мероприятий без взаимодействия с юридическими лицами, индивидуальными предпринимателями. </w:t>
      </w:r>
      <w:r w:rsidR="00E11860">
        <w:rPr>
          <w:szCs w:val="28"/>
        </w:rPr>
        <w:t xml:space="preserve">По </w:t>
      </w:r>
      <w:proofErr w:type="gramStart"/>
      <w:r w:rsidR="00E11860">
        <w:rPr>
          <w:szCs w:val="28"/>
        </w:rPr>
        <w:t>результатам</w:t>
      </w:r>
      <w:proofErr w:type="gramEnd"/>
      <w:r w:rsidR="00E11860">
        <w:rPr>
          <w:szCs w:val="28"/>
        </w:rPr>
        <w:t xml:space="preserve"> </w:t>
      </w:r>
      <w:r>
        <w:rPr>
          <w:szCs w:val="28"/>
        </w:rPr>
        <w:t xml:space="preserve">которого </w:t>
      </w:r>
      <w:r w:rsidR="00E11860">
        <w:rPr>
          <w:szCs w:val="28"/>
        </w:rPr>
        <w:t>вынесен</w:t>
      </w:r>
      <w:r>
        <w:rPr>
          <w:szCs w:val="28"/>
        </w:rPr>
        <w:t>о</w:t>
      </w:r>
      <w:r w:rsidR="00E11860">
        <w:rPr>
          <w:szCs w:val="28"/>
        </w:rPr>
        <w:t xml:space="preserve"> постановлени</w:t>
      </w:r>
      <w:r>
        <w:rPr>
          <w:szCs w:val="28"/>
        </w:rPr>
        <w:t>е</w:t>
      </w:r>
      <w:r w:rsidR="00E11860">
        <w:rPr>
          <w:szCs w:val="28"/>
        </w:rPr>
        <w:t xml:space="preserve"> о привлечении к административной ответственности </w:t>
      </w:r>
      <w:r>
        <w:rPr>
          <w:szCs w:val="28"/>
        </w:rPr>
        <w:t xml:space="preserve">по </w:t>
      </w:r>
      <w:r w:rsidR="00E11860">
        <w:rPr>
          <w:szCs w:val="28"/>
        </w:rPr>
        <w:t>стать</w:t>
      </w:r>
      <w:r>
        <w:rPr>
          <w:szCs w:val="28"/>
        </w:rPr>
        <w:t>е</w:t>
      </w:r>
      <w:r w:rsidR="00E11860">
        <w:rPr>
          <w:szCs w:val="28"/>
        </w:rPr>
        <w:t xml:space="preserve"> 14.19 </w:t>
      </w:r>
      <w:proofErr w:type="spellStart"/>
      <w:r w:rsidR="00E11860">
        <w:rPr>
          <w:szCs w:val="28"/>
        </w:rPr>
        <w:t>КоАП</w:t>
      </w:r>
      <w:proofErr w:type="spellEnd"/>
      <w:r w:rsidR="00E11860">
        <w:rPr>
          <w:szCs w:val="28"/>
        </w:rPr>
        <w:t xml:space="preserve"> РФ), назначен</w:t>
      </w:r>
      <w:r>
        <w:rPr>
          <w:szCs w:val="28"/>
        </w:rPr>
        <w:t>о</w:t>
      </w:r>
      <w:r w:rsidR="00E11860">
        <w:rPr>
          <w:szCs w:val="28"/>
        </w:rPr>
        <w:t xml:space="preserve"> наказани</w:t>
      </w:r>
      <w:r>
        <w:rPr>
          <w:szCs w:val="28"/>
        </w:rPr>
        <w:t>е</w:t>
      </w:r>
      <w:r w:rsidR="00E11860">
        <w:rPr>
          <w:szCs w:val="28"/>
        </w:rPr>
        <w:t xml:space="preserve"> в виде предупреждения.</w:t>
      </w:r>
    </w:p>
    <w:p w:rsidR="00605B16" w:rsidRDefault="00605B16" w:rsidP="003025AB">
      <w:pPr>
        <w:autoSpaceDE w:val="0"/>
        <w:autoSpaceDN w:val="0"/>
        <w:adjustRightInd w:val="0"/>
        <w:jc w:val="both"/>
        <w:rPr>
          <w:szCs w:val="28"/>
        </w:rPr>
      </w:pPr>
    </w:p>
    <w:p w:rsidR="00E11860" w:rsidRDefault="00E11860" w:rsidP="003025AB">
      <w:pPr>
        <w:autoSpaceDE w:val="0"/>
        <w:autoSpaceDN w:val="0"/>
        <w:adjustRightInd w:val="0"/>
        <w:jc w:val="both"/>
        <w:rPr>
          <w:szCs w:val="28"/>
        </w:rPr>
      </w:pPr>
      <w:r w:rsidRPr="00D777FD">
        <w:rPr>
          <w:szCs w:val="28"/>
        </w:rPr>
        <w:t>В 20</w:t>
      </w:r>
      <w:r w:rsidR="00605B16">
        <w:rPr>
          <w:szCs w:val="28"/>
        </w:rPr>
        <w:t>20</w:t>
      </w:r>
      <w:r w:rsidRPr="00D777FD">
        <w:rPr>
          <w:szCs w:val="28"/>
        </w:rPr>
        <w:t xml:space="preserve"> году </w:t>
      </w:r>
      <w:r w:rsidR="00605B16">
        <w:rPr>
          <w:szCs w:val="28"/>
        </w:rPr>
        <w:t xml:space="preserve">департаментом </w:t>
      </w:r>
      <w:r>
        <w:rPr>
          <w:szCs w:val="28"/>
        </w:rPr>
        <w:t>рассмотрен</w:t>
      </w:r>
      <w:r w:rsidR="00605B16">
        <w:rPr>
          <w:szCs w:val="28"/>
        </w:rPr>
        <w:t>о</w:t>
      </w:r>
      <w:r>
        <w:rPr>
          <w:szCs w:val="28"/>
        </w:rPr>
        <w:t xml:space="preserve"> </w:t>
      </w:r>
      <w:r w:rsidR="00605B16">
        <w:rPr>
          <w:szCs w:val="28"/>
        </w:rPr>
        <w:t xml:space="preserve">257 </w:t>
      </w:r>
      <w:r>
        <w:rPr>
          <w:szCs w:val="28"/>
        </w:rPr>
        <w:t>заявлени</w:t>
      </w:r>
      <w:r w:rsidR="00605B16">
        <w:rPr>
          <w:szCs w:val="28"/>
        </w:rPr>
        <w:t>й</w:t>
      </w:r>
      <w:r>
        <w:rPr>
          <w:szCs w:val="28"/>
        </w:rPr>
        <w:t xml:space="preserve"> соискателей лицензий о выдаче, переоформлении, продлении срока действия лицензий на розничную продажу алкогольной продукции, в </w:t>
      </w:r>
      <w:r w:rsidR="00605B16">
        <w:rPr>
          <w:szCs w:val="28"/>
        </w:rPr>
        <w:t>12</w:t>
      </w:r>
      <w:r>
        <w:rPr>
          <w:szCs w:val="28"/>
        </w:rPr>
        <w:t xml:space="preserve"> случаях приняты решения о</w:t>
      </w:r>
      <w:r w:rsidR="003025AB">
        <w:rPr>
          <w:szCs w:val="28"/>
        </w:rPr>
        <w:t>б</w:t>
      </w:r>
      <w:r>
        <w:rPr>
          <w:szCs w:val="28"/>
        </w:rPr>
        <w:t xml:space="preserve"> отказе в совершении указанных выше действий.</w:t>
      </w:r>
    </w:p>
    <w:p w:rsidR="00E11860" w:rsidRDefault="00E11860" w:rsidP="003025AB">
      <w:pPr>
        <w:autoSpaceDE w:val="0"/>
        <w:autoSpaceDN w:val="0"/>
        <w:adjustRightInd w:val="0"/>
        <w:jc w:val="both"/>
        <w:rPr>
          <w:szCs w:val="28"/>
        </w:rPr>
      </w:pPr>
    </w:p>
    <w:p w:rsidR="00931C04" w:rsidRPr="001317E8" w:rsidRDefault="00605B16" w:rsidP="003025A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Анализ правоприменительной практики за последние три года показывает, что перечень </w:t>
      </w:r>
      <w:r w:rsidR="00931C04" w:rsidRPr="001317E8">
        <w:rPr>
          <w:szCs w:val="28"/>
        </w:rPr>
        <w:t>нарушени</w:t>
      </w:r>
      <w:r w:rsidR="007E4BAA">
        <w:rPr>
          <w:szCs w:val="28"/>
        </w:rPr>
        <w:t>й</w:t>
      </w:r>
      <w:r w:rsidR="00931C04" w:rsidRPr="001317E8">
        <w:rPr>
          <w:szCs w:val="28"/>
        </w:rPr>
        <w:t>,</w:t>
      </w:r>
      <w:r w:rsidR="007E4BAA">
        <w:rPr>
          <w:szCs w:val="28"/>
        </w:rPr>
        <w:t xml:space="preserve"> наиболее часто </w:t>
      </w:r>
      <w:r w:rsidR="00931C04" w:rsidRPr="001317E8">
        <w:rPr>
          <w:szCs w:val="28"/>
        </w:rPr>
        <w:t>выявл</w:t>
      </w:r>
      <w:r w:rsidR="007E4BAA">
        <w:rPr>
          <w:szCs w:val="28"/>
        </w:rPr>
        <w:t>яемых</w:t>
      </w:r>
      <w:r w:rsidR="00931C04" w:rsidRPr="001317E8">
        <w:rPr>
          <w:szCs w:val="28"/>
        </w:rPr>
        <w:t xml:space="preserve"> в ходе проведения контрольных мероприятий</w:t>
      </w:r>
      <w:r w:rsidR="00E61F92">
        <w:rPr>
          <w:szCs w:val="28"/>
        </w:rPr>
        <w:t xml:space="preserve"> </w:t>
      </w:r>
      <w:r w:rsidR="007E4BAA">
        <w:rPr>
          <w:szCs w:val="28"/>
        </w:rPr>
        <w:t xml:space="preserve">состоит </w:t>
      </w:r>
      <w:proofErr w:type="gramStart"/>
      <w:r w:rsidR="007E4BAA">
        <w:rPr>
          <w:szCs w:val="28"/>
        </w:rPr>
        <w:t>из</w:t>
      </w:r>
      <w:proofErr w:type="gramEnd"/>
      <w:r w:rsidR="00931C04" w:rsidRPr="001317E8">
        <w:rPr>
          <w:szCs w:val="28"/>
        </w:rPr>
        <w:t>:</w:t>
      </w:r>
    </w:p>
    <w:p w:rsidR="00931C04" w:rsidRPr="001317E8" w:rsidRDefault="00931C04" w:rsidP="003025AB">
      <w:pPr>
        <w:autoSpaceDE w:val="0"/>
        <w:autoSpaceDN w:val="0"/>
        <w:adjustRightInd w:val="0"/>
        <w:jc w:val="both"/>
        <w:rPr>
          <w:szCs w:val="28"/>
        </w:rPr>
      </w:pPr>
      <w:r w:rsidRPr="001317E8">
        <w:rPr>
          <w:szCs w:val="28"/>
        </w:rPr>
        <w:t>- нарушени</w:t>
      </w:r>
      <w:r w:rsidR="007E4BAA">
        <w:rPr>
          <w:szCs w:val="28"/>
        </w:rPr>
        <w:t>й</w:t>
      </w:r>
      <w:r w:rsidRPr="001317E8">
        <w:rPr>
          <w:szCs w:val="28"/>
        </w:rPr>
        <w:t xml:space="preserve"> сроков представления декларации и искажени</w:t>
      </w:r>
      <w:r w:rsidR="007E4BAA">
        <w:rPr>
          <w:szCs w:val="28"/>
        </w:rPr>
        <w:t>я</w:t>
      </w:r>
      <w:r w:rsidRPr="001317E8">
        <w:rPr>
          <w:szCs w:val="28"/>
        </w:rPr>
        <w:t xml:space="preserve"> данных об объемах </w:t>
      </w:r>
      <w:r w:rsidR="00D75DF2">
        <w:rPr>
          <w:szCs w:val="28"/>
        </w:rPr>
        <w:t>розничной продажи</w:t>
      </w:r>
      <w:r w:rsidRPr="001317E8">
        <w:rPr>
          <w:szCs w:val="28"/>
        </w:rPr>
        <w:t xml:space="preserve"> алкогольной продукции;</w:t>
      </w:r>
    </w:p>
    <w:p w:rsidR="00931C04" w:rsidRPr="001317E8" w:rsidRDefault="00931C04" w:rsidP="003025AB">
      <w:pPr>
        <w:autoSpaceDE w:val="0"/>
        <w:autoSpaceDN w:val="0"/>
        <w:adjustRightInd w:val="0"/>
        <w:jc w:val="both"/>
        <w:rPr>
          <w:szCs w:val="28"/>
        </w:rPr>
      </w:pPr>
      <w:r w:rsidRPr="001317E8">
        <w:rPr>
          <w:szCs w:val="28"/>
        </w:rPr>
        <w:t>- нарушени</w:t>
      </w:r>
      <w:r w:rsidR="007E4BAA">
        <w:rPr>
          <w:szCs w:val="28"/>
        </w:rPr>
        <w:t>й</w:t>
      </w:r>
      <w:r w:rsidRPr="001317E8">
        <w:rPr>
          <w:szCs w:val="28"/>
        </w:rPr>
        <w:t xml:space="preserve"> порядка учета алкогольной продукции</w:t>
      </w:r>
      <w:r w:rsidR="00CF7AD5" w:rsidRPr="001317E8">
        <w:rPr>
          <w:szCs w:val="28"/>
        </w:rPr>
        <w:t>;</w:t>
      </w:r>
    </w:p>
    <w:p w:rsidR="00CF7AD5" w:rsidRDefault="00CF7AD5" w:rsidP="001317E8">
      <w:pPr>
        <w:autoSpaceDE w:val="0"/>
        <w:autoSpaceDN w:val="0"/>
        <w:adjustRightInd w:val="0"/>
        <w:jc w:val="both"/>
        <w:rPr>
          <w:szCs w:val="28"/>
        </w:rPr>
      </w:pPr>
      <w:r w:rsidRPr="001317E8">
        <w:rPr>
          <w:szCs w:val="28"/>
        </w:rPr>
        <w:t xml:space="preserve">- </w:t>
      </w:r>
      <w:r w:rsidR="00E3075B">
        <w:rPr>
          <w:szCs w:val="28"/>
        </w:rPr>
        <w:t xml:space="preserve">нарушений, связанных с </w:t>
      </w:r>
      <w:r w:rsidRPr="001317E8">
        <w:rPr>
          <w:szCs w:val="28"/>
        </w:rPr>
        <w:t>несоблюдение</w:t>
      </w:r>
      <w:r w:rsidR="00E3075B">
        <w:rPr>
          <w:szCs w:val="28"/>
        </w:rPr>
        <w:t>м</w:t>
      </w:r>
      <w:r w:rsidRPr="001317E8">
        <w:rPr>
          <w:szCs w:val="28"/>
        </w:rPr>
        <w:t xml:space="preserve"> минимальных цен на этиловый спирт и алкогольную продукцию, установленных законодательством Российской Федерации</w:t>
      </w:r>
      <w:r w:rsidR="00D75DF2">
        <w:rPr>
          <w:szCs w:val="28"/>
        </w:rPr>
        <w:t>.</w:t>
      </w:r>
    </w:p>
    <w:p w:rsidR="00CF7AD5" w:rsidRDefault="00D75DF2" w:rsidP="003025AB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 xml:space="preserve">Основной причиной отказов в предоставлении либо продлении срока действия лицензий на розничную продажу алкогольной продукции является наличие у заявителя на первое </w:t>
      </w:r>
      <w:r w:rsidRPr="00920531">
        <w:rPr>
          <w:szCs w:val="28"/>
        </w:rPr>
        <w:t>число месяца и не погашенной на дату поступления в лицензирующий орган заявления о выдаче лицензии задолженности по уплате налогов, сборов, а также пеней и штрафов за нарушение законодательства Российской Федерации о налогах и сборах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 иных случаях в предоставлении лицензии было отказано в связи с отсутствием контрольно–кассовой техники, нахождением заявленного объекта в пределах территории, прилегающей к местам, в которых реализация алкогольной продукции запрещена, непредставлением уведомления о начале </w:t>
      </w:r>
      <w:r>
        <w:rPr>
          <w:szCs w:val="28"/>
        </w:rPr>
        <w:lastRenderedPageBreak/>
        <w:t xml:space="preserve">предпринимательской деятельности в соответствующий уполномоченный  </w:t>
      </w:r>
      <w:r w:rsidRPr="00D75DF2">
        <w:rPr>
          <w:szCs w:val="28"/>
        </w:rPr>
        <w:t>территориальны</w:t>
      </w:r>
      <w:r>
        <w:rPr>
          <w:szCs w:val="28"/>
        </w:rPr>
        <w:t>й</w:t>
      </w:r>
      <w:r w:rsidRPr="00D75DF2">
        <w:rPr>
          <w:szCs w:val="28"/>
        </w:rPr>
        <w:t> орган федеральных органов исполнительной власти</w:t>
      </w:r>
      <w:r>
        <w:rPr>
          <w:szCs w:val="28"/>
        </w:rPr>
        <w:t>.</w:t>
      </w:r>
      <w:proofErr w:type="gramEnd"/>
    </w:p>
    <w:p w:rsidR="00D75DF2" w:rsidRDefault="001E0649" w:rsidP="003025A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целях недопущения в деятельности юридических лиц и индивидуальных предпринимателей нарушений обязательных требований департаментом подготовлено руководство по их соблюдению. Руководство опубликовано  на официальном сайте в информационно-телекоммуникационной сети «Интернет» (</w:t>
      </w:r>
      <w:r w:rsidR="00A54DCC" w:rsidRPr="00A54DCC">
        <w:t>http://dep-economy44.ru/deyatelnost-departamenta/licenzirovanie/kontrolno-nadzornaya-deyatelnost/rukovodstva</w:t>
      </w:r>
      <w:r>
        <w:rPr>
          <w:szCs w:val="28"/>
        </w:rPr>
        <w:t>).</w:t>
      </w:r>
    </w:p>
    <w:p w:rsidR="001E0649" w:rsidRDefault="001E0649" w:rsidP="001E0649">
      <w:pPr>
        <w:autoSpaceDE w:val="0"/>
        <w:autoSpaceDN w:val="0"/>
        <w:adjustRightInd w:val="0"/>
        <w:jc w:val="both"/>
        <w:rPr>
          <w:szCs w:val="28"/>
        </w:rPr>
      </w:pPr>
      <w:r w:rsidRPr="00142053">
        <w:rPr>
          <w:szCs w:val="28"/>
        </w:rPr>
        <w:t xml:space="preserve">По результатам проведения анализа практики </w:t>
      </w:r>
      <w:proofErr w:type="gramStart"/>
      <w:r w:rsidRPr="00142053">
        <w:rPr>
          <w:szCs w:val="28"/>
        </w:rPr>
        <w:t xml:space="preserve">применения </w:t>
      </w:r>
      <w:r>
        <w:rPr>
          <w:szCs w:val="28"/>
        </w:rPr>
        <w:t>законодательства, регулирующего лицензирование продажи алкогольной продукции на территории Костромской области</w:t>
      </w:r>
      <w:r w:rsidRPr="00142053">
        <w:rPr>
          <w:szCs w:val="28"/>
        </w:rPr>
        <w:t xml:space="preserve"> </w:t>
      </w:r>
      <w:r>
        <w:rPr>
          <w:szCs w:val="28"/>
        </w:rPr>
        <w:t>считаем</w:t>
      </w:r>
      <w:proofErr w:type="gramEnd"/>
      <w:r>
        <w:rPr>
          <w:szCs w:val="28"/>
        </w:rPr>
        <w:t xml:space="preserve"> необходимым внести следующие предложения</w:t>
      </w:r>
      <w:r w:rsidRPr="00142053">
        <w:rPr>
          <w:szCs w:val="28"/>
        </w:rPr>
        <w:t>:</w:t>
      </w:r>
    </w:p>
    <w:p w:rsidR="001E0649" w:rsidRDefault="001E0649" w:rsidP="001E064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 ходе осуществления полномочий по ведению государственной регистрации выданных лицензий, лицензий, действие которых приостановлено и аннулированных лицензий, выявлен ряд несоответствий некоторых параметров формата </w:t>
      </w:r>
      <w:r w:rsidRPr="009C24AE">
        <w:rPr>
          <w:szCs w:val="28"/>
        </w:rPr>
        <w:t>представления органами и</w:t>
      </w:r>
      <w:r>
        <w:rPr>
          <w:szCs w:val="28"/>
        </w:rPr>
        <w:t>сполнительной власти субъектов Российской Ф</w:t>
      </w:r>
      <w:r w:rsidRPr="009C24AE">
        <w:rPr>
          <w:szCs w:val="28"/>
        </w:rPr>
        <w:t xml:space="preserve">едерации в электронном </w:t>
      </w:r>
      <w:r>
        <w:rPr>
          <w:szCs w:val="28"/>
        </w:rPr>
        <w:t>виде таких сведений, а также</w:t>
      </w:r>
      <w:r w:rsidRPr="001E0649">
        <w:rPr>
          <w:szCs w:val="28"/>
        </w:rPr>
        <w:t xml:space="preserve"> </w:t>
      </w:r>
      <w:r>
        <w:rPr>
          <w:szCs w:val="28"/>
        </w:rPr>
        <w:t>положений Правил ведения указанного реестра, установленных Постановлением Правительства Российской Федерации от 17 июля 2012 года № 723 «О</w:t>
      </w:r>
      <w:r w:rsidRPr="001E0649">
        <w:rPr>
          <w:szCs w:val="28"/>
        </w:rPr>
        <w:t> </w:t>
      </w:r>
      <w:r w:rsidRPr="0044176B">
        <w:rPr>
          <w:szCs w:val="28"/>
        </w:rPr>
        <w:t>государственном сводном реестре выданных, приостановленных и</w:t>
      </w:r>
      <w:proofErr w:type="gramEnd"/>
      <w:r w:rsidRPr="0044176B">
        <w:rPr>
          <w:szCs w:val="28"/>
        </w:rPr>
        <w:t xml:space="preserve"> аннулированных лицензий на производство и оборот этилового спирта, алкогольной и спиртосодержащей продукции</w:t>
      </w:r>
      <w:r>
        <w:rPr>
          <w:szCs w:val="28"/>
        </w:rPr>
        <w:t>» нормам, установленным Федеральным Законом от № 171-ФЗ.</w:t>
      </w:r>
    </w:p>
    <w:p w:rsidR="001E0649" w:rsidRDefault="001E0649" w:rsidP="001E064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Обязательным атрибутом при заполнении сведений об обособленных подразделениях организации-лицензиата является КПП таких подразделений. Вместе с тем,</w:t>
      </w:r>
      <w:r w:rsidRPr="00ED40C0">
        <w:rPr>
          <w:szCs w:val="28"/>
        </w:rPr>
        <w:t xml:space="preserve"> </w:t>
      </w:r>
      <w:r>
        <w:rPr>
          <w:szCs w:val="28"/>
        </w:rPr>
        <w:t xml:space="preserve">пунктом 3.2 статьи 19 Федерального Закона № 171-ФЗ определена обязанность организации-лицензиата (соискателя лицензии) представлять в лицензирующий орган копию документа о постановке на учет в налоговом органе организации, но не ее обособленных подразделений. Пунктом 3.3 указанной статьи установлен запрет на истребование от заявителей каких-либо дополнительных документов. Требованиями к содержанию заявления о предоставлении государственной услуги (пункт 1 статьи 19 Федерального Закона № 171-ФЗ) не введено обязательное указание лицензиатом такой информации, как КПП обособленного подразделения организации. </w:t>
      </w:r>
    </w:p>
    <w:p w:rsidR="001E0649" w:rsidRDefault="001E0649" w:rsidP="001E064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Таким образом, органы государственной власти субъектов Российской Федерации ограничены в возможности получения некоторой информации, обязательной к занесению в реестр. </w:t>
      </w:r>
    </w:p>
    <w:p w:rsidR="001E0649" w:rsidRDefault="00A54DCC" w:rsidP="001E064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2</w:t>
      </w:r>
      <w:r w:rsidR="001E0649">
        <w:rPr>
          <w:szCs w:val="28"/>
        </w:rPr>
        <w:t>. Полагаем необходимым рассмотреть вопрос о внесении изменений в п</w:t>
      </w:r>
      <w:r>
        <w:rPr>
          <w:szCs w:val="28"/>
        </w:rPr>
        <w:t>. </w:t>
      </w:r>
      <w:r w:rsidR="001E0649">
        <w:rPr>
          <w:szCs w:val="28"/>
        </w:rPr>
        <w:t>92 статьи 333.33 Налогового кодекса Российской Федерации в части установления дифференцированного размера государственной пошлины за предоставление и продление срока действия лицензий на розничную продажу алкогольной продукции (в зависимости от количества мест нахождения обособленных подразделений организаций, указанных в лицензии).</w:t>
      </w:r>
    </w:p>
    <w:p w:rsidR="001C5905" w:rsidRPr="001317E8" w:rsidRDefault="001E0649" w:rsidP="00AA6959">
      <w:pPr>
        <w:jc w:val="both"/>
        <w:rPr>
          <w:szCs w:val="28"/>
        </w:rPr>
      </w:pPr>
      <w:r>
        <w:rPr>
          <w:szCs w:val="28"/>
        </w:rPr>
        <w:t xml:space="preserve">Указанные выводы </w:t>
      </w:r>
      <w:r w:rsidR="00AA6959">
        <w:rPr>
          <w:szCs w:val="28"/>
        </w:rPr>
        <w:t xml:space="preserve">представлены и поддержаны присутствующими на совещании, проведенном в ноябре 2019 года с участием представителей региональных отделений общественных организаций, а также хозяйствующих субъектов. </w:t>
      </w:r>
    </w:p>
    <w:p w:rsidR="00817C07" w:rsidRPr="001317E8" w:rsidRDefault="00817C07" w:rsidP="00AA6959">
      <w:pPr>
        <w:jc w:val="both"/>
        <w:rPr>
          <w:szCs w:val="28"/>
        </w:rPr>
      </w:pPr>
    </w:p>
    <w:sectPr w:rsidR="00817C07" w:rsidRPr="001317E8" w:rsidSect="001E0649">
      <w:headerReference w:type="default" r:id="rId13"/>
      <w:pgSz w:w="11906" w:h="16838"/>
      <w:pgMar w:top="1135" w:right="851" w:bottom="993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64" w:rsidRDefault="006F0664" w:rsidP="00D96D42">
      <w:pPr>
        <w:spacing w:line="240" w:lineRule="auto"/>
      </w:pPr>
      <w:r>
        <w:separator/>
      </w:r>
    </w:p>
  </w:endnote>
  <w:endnote w:type="continuationSeparator" w:id="0">
    <w:p w:rsidR="006F0664" w:rsidRDefault="006F0664" w:rsidP="00D96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64" w:rsidRDefault="006F0664" w:rsidP="00D96D42">
      <w:pPr>
        <w:spacing w:line="240" w:lineRule="auto"/>
      </w:pPr>
      <w:r>
        <w:separator/>
      </w:r>
    </w:p>
  </w:footnote>
  <w:footnote w:type="continuationSeparator" w:id="0">
    <w:p w:rsidR="006F0664" w:rsidRDefault="006F0664" w:rsidP="00D96D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484733"/>
      <w:docPartObj>
        <w:docPartGallery w:val="Page Numbers (Top of Page)"/>
        <w:docPartUnique/>
      </w:docPartObj>
    </w:sdtPr>
    <w:sdtContent>
      <w:p w:rsidR="003025AB" w:rsidRDefault="00B5641B">
        <w:pPr>
          <w:pStyle w:val="a6"/>
          <w:jc w:val="center"/>
        </w:pPr>
        <w:fldSimple w:instr="PAGE   \* MERGEFORMAT">
          <w:r w:rsidR="00A54DCC">
            <w:rPr>
              <w:noProof/>
            </w:rPr>
            <w:t>4</w:t>
          </w:r>
        </w:fldSimple>
      </w:p>
    </w:sdtContent>
  </w:sdt>
  <w:p w:rsidR="003025AB" w:rsidRDefault="003025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5FB"/>
    <w:multiLevelType w:val="multilevel"/>
    <w:tmpl w:val="F8E61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1909A7"/>
    <w:multiLevelType w:val="hybridMultilevel"/>
    <w:tmpl w:val="586EF62A"/>
    <w:lvl w:ilvl="0" w:tplc="DA14BB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3A2"/>
    <w:rsid w:val="000038F7"/>
    <w:rsid w:val="00004969"/>
    <w:rsid w:val="00010A20"/>
    <w:rsid w:val="000175AF"/>
    <w:rsid w:val="000179F9"/>
    <w:rsid w:val="0003756B"/>
    <w:rsid w:val="0003798A"/>
    <w:rsid w:val="000468F8"/>
    <w:rsid w:val="00056ED6"/>
    <w:rsid w:val="00065C28"/>
    <w:rsid w:val="00070A3A"/>
    <w:rsid w:val="00071123"/>
    <w:rsid w:val="00073928"/>
    <w:rsid w:val="00090799"/>
    <w:rsid w:val="0009390C"/>
    <w:rsid w:val="000949B6"/>
    <w:rsid w:val="000C3493"/>
    <w:rsid w:val="000C51E2"/>
    <w:rsid w:val="000C5B4A"/>
    <w:rsid w:val="000C6C0A"/>
    <w:rsid w:val="000E4506"/>
    <w:rsid w:val="001139D4"/>
    <w:rsid w:val="00125B0C"/>
    <w:rsid w:val="00126534"/>
    <w:rsid w:val="00127394"/>
    <w:rsid w:val="001277B4"/>
    <w:rsid w:val="001317E8"/>
    <w:rsid w:val="0014169D"/>
    <w:rsid w:val="00160EC9"/>
    <w:rsid w:val="0016251D"/>
    <w:rsid w:val="00175535"/>
    <w:rsid w:val="00180683"/>
    <w:rsid w:val="00185B55"/>
    <w:rsid w:val="00185C91"/>
    <w:rsid w:val="00187A2C"/>
    <w:rsid w:val="00190D51"/>
    <w:rsid w:val="001963D7"/>
    <w:rsid w:val="001A40FB"/>
    <w:rsid w:val="001B51DE"/>
    <w:rsid w:val="001C180C"/>
    <w:rsid w:val="001C5905"/>
    <w:rsid w:val="001D2CD5"/>
    <w:rsid w:val="001D4E6E"/>
    <w:rsid w:val="001E0649"/>
    <w:rsid w:val="001E2200"/>
    <w:rsid w:val="001E25B1"/>
    <w:rsid w:val="001E47E9"/>
    <w:rsid w:val="001F4995"/>
    <w:rsid w:val="001F50B2"/>
    <w:rsid w:val="002121FA"/>
    <w:rsid w:val="0021401F"/>
    <w:rsid w:val="002254B4"/>
    <w:rsid w:val="00225764"/>
    <w:rsid w:val="00231695"/>
    <w:rsid w:val="00237332"/>
    <w:rsid w:val="00240540"/>
    <w:rsid w:val="00247D2B"/>
    <w:rsid w:val="00252C39"/>
    <w:rsid w:val="00260E59"/>
    <w:rsid w:val="00271E50"/>
    <w:rsid w:val="00284D32"/>
    <w:rsid w:val="0028724F"/>
    <w:rsid w:val="00294825"/>
    <w:rsid w:val="002951DE"/>
    <w:rsid w:val="0029536D"/>
    <w:rsid w:val="00296364"/>
    <w:rsid w:val="002A4878"/>
    <w:rsid w:val="002B2F70"/>
    <w:rsid w:val="002C6C9D"/>
    <w:rsid w:val="002D2CE2"/>
    <w:rsid w:val="002D4A1B"/>
    <w:rsid w:val="002D73AD"/>
    <w:rsid w:val="002F14C0"/>
    <w:rsid w:val="002F219A"/>
    <w:rsid w:val="002F5A90"/>
    <w:rsid w:val="003025AB"/>
    <w:rsid w:val="003077E2"/>
    <w:rsid w:val="003142D1"/>
    <w:rsid w:val="00320DD6"/>
    <w:rsid w:val="00330B30"/>
    <w:rsid w:val="00342EBD"/>
    <w:rsid w:val="00346D4B"/>
    <w:rsid w:val="00347A98"/>
    <w:rsid w:val="00350563"/>
    <w:rsid w:val="003542DE"/>
    <w:rsid w:val="0037759C"/>
    <w:rsid w:val="00380EBF"/>
    <w:rsid w:val="00382214"/>
    <w:rsid w:val="003A16EA"/>
    <w:rsid w:val="003B380C"/>
    <w:rsid w:val="003B440A"/>
    <w:rsid w:val="003B5140"/>
    <w:rsid w:val="003D1579"/>
    <w:rsid w:val="003D56B0"/>
    <w:rsid w:val="003E24AB"/>
    <w:rsid w:val="003E51B1"/>
    <w:rsid w:val="003E563F"/>
    <w:rsid w:val="003F75AB"/>
    <w:rsid w:val="00415995"/>
    <w:rsid w:val="004332DA"/>
    <w:rsid w:val="004351C9"/>
    <w:rsid w:val="00440AF3"/>
    <w:rsid w:val="00474E55"/>
    <w:rsid w:val="004873BB"/>
    <w:rsid w:val="004A45E6"/>
    <w:rsid w:val="004B725D"/>
    <w:rsid w:val="004B7BE2"/>
    <w:rsid w:val="004C05A7"/>
    <w:rsid w:val="004C485D"/>
    <w:rsid w:val="004D0092"/>
    <w:rsid w:val="004D7B37"/>
    <w:rsid w:val="004E401D"/>
    <w:rsid w:val="004E601C"/>
    <w:rsid w:val="004E6063"/>
    <w:rsid w:val="004E73BD"/>
    <w:rsid w:val="004E76FA"/>
    <w:rsid w:val="004F37CE"/>
    <w:rsid w:val="004F6570"/>
    <w:rsid w:val="00506AE0"/>
    <w:rsid w:val="00525B08"/>
    <w:rsid w:val="00525EB9"/>
    <w:rsid w:val="00532709"/>
    <w:rsid w:val="00556537"/>
    <w:rsid w:val="00563BA8"/>
    <w:rsid w:val="00563BC7"/>
    <w:rsid w:val="00566998"/>
    <w:rsid w:val="005704FE"/>
    <w:rsid w:val="00573A00"/>
    <w:rsid w:val="0058350D"/>
    <w:rsid w:val="00587851"/>
    <w:rsid w:val="00590792"/>
    <w:rsid w:val="00591774"/>
    <w:rsid w:val="00591E25"/>
    <w:rsid w:val="0059252C"/>
    <w:rsid w:val="00592E44"/>
    <w:rsid w:val="00596DA4"/>
    <w:rsid w:val="005A43B4"/>
    <w:rsid w:val="005A4EEA"/>
    <w:rsid w:val="005B26BD"/>
    <w:rsid w:val="005B7DE8"/>
    <w:rsid w:val="005D4D70"/>
    <w:rsid w:val="005E047A"/>
    <w:rsid w:val="005E0CAF"/>
    <w:rsid w:val="005E6FF2"/>
    <w:rsid w:val="005E780C"/>
    <w:rsid w:val="005F0861"/>
    <w:rsid w:val="005F3A2C"/>
    <w:rsid w:val="005F3F58"/>
    <w:rsid w:val="005F57BE"/>
    <w:rsid w:val="006015A5"/>
    <w:rsid w:val="00605B16"/>
    <w:rsid w:val="0062050B"/>
    <w:rsid w:val="006346C6"/>
    <w:rsid w:val="0064557B"/>
    <w:rsid w:val="00654DC1"/>
    <w:rsid w:val="006763FE"/>
    <w:rsid w:val="00681A9A"/>
    <w:rsid w:val="006864B9"/>
    <w:rsid w:val="00686C3A"/>
    <w:rsid w:val="006873C2"/>
    <w:rsid w:val="0068766C"/>
    <w:rsid w:val="006929E5"/>
    <w:rsid w:val="00692B53"/>
    <w:rsid w:val="006961BC"/>
    <w:rsid w:val="006A27D2"/>
    <w:rsid w:val="006A4F60"/>
    <w:rsid w:val="006C5D68"/>
    <w:rsid w:val="006D59D5"/>
    <w:rsid w:val="006E1EE5"/>
    <w:rsid w:val="006E2CC1"/>
    <w:rsid w:val="006E5F91"/>
    <w:rsid w:val="006F0664"/>
    <w:rsid w:val="006F2CD4"/>
    <w:rsid w:val="006F784A"/>
    <w:rsid w:val="0070311C"/>
    <w:rsid w:val="00710522"/>
    <w:rsid w:val="0071585E"/>
    <w:rsid w:val="00727A6C"/>
    <w:rsid w:val="0073243F"/>
    <w:rsid w:val="00751943"/>
    <w:rsid w:val="00757D8E"/>
    <w:rsid w:val="007677EC"/>
    <w:rsid w:val="00770B11"/>
    <w:rsid w:val="007720B6"/>
    <w:rsid w:val="00774D8A"/>
    <w:rsid w:val="0078085E"/>
    <w:rsid w:val="00787657"/>
    <w:rsid w:val="007901C1"/>
    <w:rsid w:val="007910DB"/>
    <w:rsid w:val="007A6DA7"/>
    <w:rsid w:val="007B5F5A"/>
    <w:rsid w:val="007B67FE"/>
    <w:rsid w:val="007D606E"/>
    <w:rsid w:val="007E4BAA"/>
    <w:rsid w:val="007E5A50"/>
    <w:rsid w:val="007F0477"/>
    <w:rsid w:val="007F70CA"/>
    <w:rsid w:val="00810DC4"/>
    <w:rsid w:val="00817C07"/>
    <w:rsid w:val="00834334"/>
    <w:rsid w:val="00836130"/>
    <w:rsid w:val="00840365"/>
    <w:rsid w:val="0084509E"/>
    <w:rsid w:val="00856069"/>
    <w:rsid w:val="00892E3E"/>
    <w:rsid w:val="00892E81"/>
    <w:rsid w:val="0089746F"/>
    <w:rsid w:val="0089773B"/>
    <w:rsid w:val="008A0E51"/>
    <w:rsid w:val="008A16AE"/>
    <w:rsid w:val="008A425D"/>
    <w:rsid w:val="008B1617"/>
    <w:rsid w:val="008C30C3"/>
    <w:rsid w:val="008C44A5"/>
    <w:rsid w:val="008D084C"/>
    <w:rsid w:val="008D5CA6"/>
    <w:rsid w:val="008D76CA"/>
    <w:rsid w:val="008E052D"/>
    <w:rsid w:val="008F75F5"/>
    <w:rsid w:val="009004B7"/>
    <w:rsid w:val="00910A8C"/>
    <w:rsid w:val="00912066"/>
    <w:rsid w:val="0091561A"/>
    <w:rsid w:val="00931C04"/>
    <w:rsid w:val="009447E8"/>
    <w:rsid w:val="00950FA1"/>
    <w:rsid w:val="00954E7D"/>
    <w:rsid w:val="00957123"/>
    <w:rsid w:val="00960A52"/>
    <w:rsid w:val="00963785"/>
    <w:rsid w:val="00963999"/>
    <w:rsid w:val="009659F8"/>
    <w:rsid w:val="00972660"/>
    <w:rsid w:val="00974B63"/>
    <w:rsid w:val="00997CE9"/>
    <w:rsid w:val="009B2455"/>
    <w:rsid w:val="009B4563"/>
    <w:rsid w:val="009C14C4"/>
    <w:rsid w:val="009C2CC2"/>
    <w:rsid w:val="009F6295"/>
    <w:rsid w:val="00A204A0"/>
    <w:rsid w:val="00A34143"/>
    <w:rsid w:val="00A549C0"/>
    <w:rsid w:val="00A54DCC"/>
    <w:rsid w:val="00A57126"/>
    <w:rsid w:val="00A57BD5"/>
    <w:rsid w:val="00A73BA9"/>
    <w:rsid w:val="00A74310"/>
    <w:rsid w:val="00A8232D"/>
    <w:rsid w:val="00A86D17"/>
    <w:rsid w:val="00A9055E"/>
    <w:rsid w:val="00A92E2D"/>
    <w:rsid w:val="00AA1315"/>
    <w:rsid w:val="00AA6959"/>
    <w:rsid w:val="00AB59EC"/>
    <w:rsid w:val="00AC4E65"/>
    <w:rsid w:val="00AC7D8F"/>
    <w:rsid w:val="00AD2A7E"/>
    <w:rsid w:val="00AD3547"/>
    <w:rsid w:val="00AD440F"/>
    <w:rsid w:val="00AD5049"/>
    <w:rsid w:val="00AD614A"/>
    <w:rsid w:val="00AD67B7"/>
    <w:rsid w:val="00AF1DE2"/>
    <w:rsid w:val="00B0100A"/>
    <w:rsid w:val="00B3323C"/>
    <w:rsid w:val="00B34281"/>
    <w:rsid w:val="00B42797"/>
    <w:rsid w:val="00B5641B"/>
    <w:rsid w:val="00B572A6"/>
    <w:rsid w:val="00B66E9E"/>
    <w:rsid w:val="00B75986"/>
    <w:rsid w:val="00B906FE"/>
    <w:rsid w:val="00B9449D"/>
    <w:rsid w:val="00B96659"/>
    <w:rsid w:val="00B96B39"/>
    <w:rsid w:val="00BA1F25"/>
    <w:rsid w:val="00BA6833"/>
    <w:rsid w:val="00BB2F74"/>
    <w:rsid w:val="00BB7FAD"/>
    <w:rsid w:val="00BC108C"/>
    <w:rsid w:val="00BC2B42"/>
    <w:rsid w:val="00BD1FDB"/>
    <w:rsid w:val="00BE3C5D"/>
    <w:rsid w:val="00BE6387"/>
    <w:rsid w:val="00BF1F38"/>
    <w:rsid w:val="00C11144"/>
    <w:rsid w:val="00C14535"/>
    <w:rsid w:val="00C263A2"/>
    <w:rsid w:val="00C343F7"/>
    <w:rsid w:val="00C44E34"/>
    <w:rsid w:val="00C550CC"/>
    <w:rsid w:val="00C63AC5"/>
    <w:rsid w:val="00C8561C"/>
    <w:rsid w:val="00C90D0E"/>
    <w:rsid w:val="00CA7018"/>
    <w:rsid w:val="00CB301C"/>
    <w:rsid w:val="00CB3B83"/>
    <w:rsid w:val="00CB61FA"/>
    <w:rsid w:val="00CD5C13"/>
    <w:rsid w:val="00CD6F77"/>
    <w:rsid w:val="00CF7AD5"/>
    <w:rsid w:val="00D108AE"/>
    <w:rsid w:val="00D1110C"/>
    <w:rsid w:val="00D12619"/>
    <w:rsid w:val="00D12BEF"/>
    <w:rsid w:val="00D16539"/>
    <w:rsid w:val="00D204D8"/>
    <w:rsid w:val="00D23B06"/>
    <w:rsid w:val="00D310EC"/>
    <w:rsid w:val="00D359AB"/>
    <w:rsid w:val="00D3601F"/>
    <w:rsid w:val="00D36676"/>
    <w:rsid w:val="00D4438E"/>
    <w:rsid w:val="00D5017F"/>
    <w:rsid w:val="00D5629B"/>
    <w:rsid w:val="00D62590"/>
    <w:rsid w:val="00D65879"/>
    <w:rsid w:val="00D75DF2"/>
    <w:rsid w:val="00D800C6"/>
    <w:rsid w:val="00D843D1"/>
    <w:rsid w:val="00D844C7"/>
    <w:rsid w:val="00D922F3"/>
    <w:rsid w:val="00D95ED6"/>
    <w:rsid w:val="00D96D42"/>
    <w:rsid w:val="00DA0EA3"/>
    <w:rsid w:val="00DB0339"/>
    <w:rsid w:val="00DC6A73"/>
    <w:rsid w:val="00DE3CDA"/>
    <w:rsid w:val="00DE4B0C"/>
    <w:rsid w:val="00DF32DE"/>
    <w:rsid w:val="00E05C43"/>
    <w:rsid w:val="00E11577"/>
    <w:rsid w:val="00E11860"/>
    <w:rsid w:val="00E14DB5"/>
    <w:rsid w:val="00E21311"/>
    <w:rsid w:val="00E23291"/>
    <w:rsid w:val="00E3075B"/>
    <w:rsid w:val="00E336AD"/>
    <w:rsid w:val="00E36A63"/>
    <w:rsid w:val="00E41E70"/>
    <w:rsid w:val="00E53A92"/>
    <w:rsid w:val="00E60D62"/>
    <w:rsid w:val="00E60E33"/>
    <w:rsid w:val="00E610BD"/>
    <w:rsid w:val="00E61F92"/>
    <w:rsid w:val="00E6708E"/>
    <w:rsid w:val="00EA281A"/>
    <w:rsid w:val="00EA2E88"/>
    <w:rsid w:val="00EA3179"/>
    <w:rsid w:val="00EB1CAE"/>
    <w:rsid w:val="00ED3073"/>
    <w:rsid w:val="00EE3E00"/>
    <w:rsid w:val="00EE62B1"/>
    <w:rsid w:val="00EF165E"/>
    <w:rsid w:val="00EF171C"/>
    <w:rsid w:val="00EF2E32"/>
    <w:rsid w:val="00EF4B63"/>
    <w:rsid w:val="00EF5CE7"/>
    <w:rsid w:val="00F06FB4"/>
    <w:rsid w:val="00F0755E"/>
    <w:rsid w:val="00F117D0"/>
    <w:rsid w:val="00F20141"/>
    <w:rsid w:val="00F2212A"/>
    <w:rsid w:val="00F24EEE"/>
    <w:rsid w:val="00F345B6"/>
    <w:rsid w:val="00F34A07"/>
    <w:rsid w:val="00F71974"/>
    <w:rsid w:val="00F8123C"/>
    <w:rsid w:val="00FA2569"/>
    <w:rsid w:val="00FA30BE"/>
    <w:rsid w:val="00FB2211"/>
    <w:rsid w:val="00FC0323"/>
    <w:rsid w:val="00FD0518"/>
    <w:rsid w:val="00FF4756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3A2"/>
    <w:pPr>
      <w:spacing w:line="240" w:lineRule="auto"/>
      <w:ind w:firstLine="0"/>
    </w:pPr>
    <w:rPr>
      <w:rFonts w:asciiTheme="minorHAnsi" w:hAnsiTheme="minorHAnsi" w:cstheme="minorBidi"/>
      <w:sz w:val="22"/>
    </w:rPr>
  </w:style>
  <w:style w:type="paragraph" w:styleId="2">
    <w:name w:val="Body Text Indent 2"/>
    <w:basedOn w:val="a"/>
    <w:link w:val="20"/>
    <w:unhideWhenUsed/>
    <w:rsid w:val="006346C6"/>
    <w:pPr>
      <w:spacing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46C6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070A3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3D56B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D56B0"/>
    <w:pPr>
      <w:widowControl w:val="0"/>
      <w:shd w:val="clear" w:color="auto" w:fill="FFFFFF"/>
      <w:spacing w:line="466" w:lineRule="exact"/>
      <w:ind w:firstLine="0"/>
      <w:jc w:val="both"/>
    </w:pPr>
    <w:rPr>
      <w:rFonts w:eastAsia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D59D5"/>
    <w:pPr>
      <w:spacing w:after="200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D96D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D42"/>
  </w:style>
  <w:style w:type="paragraph" w:styleId="a8">
    <w:name w:val="footer"/>
    <w:basedOn w:val="a"/>
    <w:link w:val="a9"/>
    <w:uiPriority w:val="99"/>
    <w:unhideWhenUsed/>
    <w:rsid w:val="00D96D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D42"/>
  </w:style>
  <w:style w:type="paragraph" w:styleId="aa">
    <w:name w:val="Balloon Text"/>
    <w:basedOn w:val="a"/>
    <w:link w:val="ab"/>
    <w:uiPriority w:val="99"/>
    <w:semiHidden/>
    <w:unhideWhenUsed/>
    <w:rsid w:val="00D96D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6D4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929E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929E5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1277B4"/>
    <w:pPr>
      <w:spacing w:line="240" w:lineRule="auto"/>
      <w:ind w:firstLine="0"/>
    </w:pPr>
  </w:style>
  <w:style w:type="character" w:styleId="af">
    <w:name w:val="annotation reference"/>
    <w:basedOn w:val="a0"/>
    <w:uiPriority w:val="99"/>
    <w:semiHidden/>
    <w:unhideWhenUsed/>
    <w:rsid w:val="001277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77B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77B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77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77B4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1E06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BDF799C959FB7391BD289617E286B71BDE5210FB02FB824EDEC06CF49E44227329D17C5951C97dFiA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7727AA06D6793BEDD584E8C6659689C8A8916B93EB4FB85AB52A729C5D01DC246419BA5E64B678B42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7727AA06D6793BEDD584E8C6659689C8A8916B93EB4FB85AB52A729C5D01DC246419BA5E64BC7EB42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p&#8211;economy4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65;n=26680;fld=134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8D47-F7EA-4E7A-8AEF-DA718EA6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 Дмитрий Александрович</dc:creator>
  <cp:lastModifiedBy>haylova</cp:lastModifiedBy>
  <cp:revision>4</cp:revision>
  <cp:lastPrinted>2019-03-28T07:05:00Z</cp:lastPrinted>
  <dcterms:created xsi:type="dcterms:W3CDTF">2021-01-20T13:27:00Z</dcterms:created>
  <dcterms:modified xsi:type="dcterms:W3CDTF">2021-01-20T13:58:00Z</dcterms:modified>
</cp:coreProperties>
</file>